
<file path=[Content_Types].xml><?xml version="1.0" encoding="utf-8"?>
<Types xmlns="http://schemas.openxmlformats.org/package/2006/content-types">
  <Override PartName="/word/charts/chart10.xml" ContentType="application/vnd.openxmlformats-officedocument.drawingml.chart+xml"/>
  <Override PartName="/word/drawings/drawing69.xml" ContentType="application/vnd.openxmlformats-officedocument.drawingml.chartshapes+xml"/>
  <Override PartName="/word/drawings/drawing58.xml" ContentType="application/vnd.openxmlformats-officedocument.drawingml.chartshapes+xml"/>
  <Override PartName="/word/drawings/drawing6.xml" ContentType="application/vnd.openxmlformats-officedocument.drawingml.chartshapes+xml"/>
  <Override PartName="/word/drawings/drawing18.xml" ContentType="application/vnd.openxmlformats-officedocument.drawingml.chartshapes+xml"/>
  <Override PartName="/word/drawings/drawing29.xml" ContentType="application/vnd.openxmlformats-officedocument.drawingml.chartshapes+xml"/>
  <Override PartName="/word/drawings/drawing47.xml" ContentType="application/vnd.openxmlformats-officedocument.drawingml.chartshapes+xml"/>
  <Override PartName="/word/charts/chart59.xml" ContentType="application/vnd.openxmlformats-officedocument.drawingml.chart+xml"/>
  <Override PartName="/word/drawings/drawing65.xml" ContentType="application/vnd.openxmlformats-officedocument.drawingml.chartshape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charts/chart9.xml" ContentType="application/vnd.openxmlformats-officedocument.drawingml.chart+xml"/>
  <Override PartName="/word/charts/chart19.xml" ContentType="application/vnd.openxmlformats-officedocument.drawingml.chart+xml"/>
  <Override PartName="/word/drawings/drawing25.xml" ContentType="application/vnd.openxmlformats-officedocument.drawingml.chartshapes+xml"/>
  <Override PartName="/word/drawings/drawing36.xml" ContentType="application/vnd.openxmlformats-officedocument.drawingml.chartshapes+xml"/>
  <Override PartName="/word/charts/chart48.xml" ContentType="application/vnd.openxmlformats-officedocument.drawingml.chart+xml"/>
  <Override PartName="/word/drawings/drawing54.xml" ContentType="application/vnd.openxmlformats-officedocument.drawingml.chartshapes+xml"/>
  <Override PartName="/word/charts/chart66.xml" ContentType="application/vnd.openxmlformats-officedocument.drawingml.chart+xml"/>
  <Override PartName="/word/drawings/drawing2.xml" ContentType="application/vnd.openxmlformats-officedocument.drawingml.chartshapes+xml"/>
  <Override PartName="/word/drawings/drawing14.xml" ContentType="application/vnd.openxmlformats-officedocument.drawingml.chartshapes+xml"/>
  <Override PartName="/word/charts/chart26.xml" ContentType="application/vnd.openxmlformats-officedocument.drawingml.chart+xml"/>
  <Override PartName="/word/charts/chart37.xml" ContentType="application/vnd.openxmlformats-officedocument.drawingml.chart+xml"/>
  <Override PartName="/word/drawings/drawing43.xml" ContentType="application/vnd.openxmlformats-officedocument.drawingml.chartshapes+xml"/>
  <Override PartName="/word/charts/chart55.xml" ContentType="application/vnd.openxmlformats-officedocument.drawingml.chart+xml"/>
  <Override PartName="/word/drawings/drawing61.xml" ContentType="application/vnd.openxmlformats-officedocument.drawingml.chartshapes+xml"/>
  <Override PartName="/word/charts/chart73.xml" ContentType="application/vnd.openxmlformats-officedocument.drawingml.chart+xml"/>
  <Override PartName="/word/charts/chart5.xml" ContentType="application/vnd.openxmlformats-officedocument.drawingml.chart+xml"/>
  <Override PartName="/word/charts/chart15.xml" ContentType="application/vnd.openxmlformats-officedocument.drawingml.chart+xml"/>
  <Override PartName="/word/drawings/drawing21.xml" ContentType="application/vnd.openxmlformats-officedocument.drawingml.chartshapes+xml"/>
  <Override PartName="/word/drawings/drawing32.xml" ContentType="application/vnd.openxmlformats-officedocument.drawingml.chartshapes+xml"/>
  <Override PartName="/word/charts/chart44.xml" ContentType="application/vnd.openxmlformats-officedocument.drawingml.chart+xml"/>
  <Override PartName="/word/drawings/drawing50.xml" ContentType="application/vnd.openxmlformats-officedocument.drawingml.chartshapes+xml"/>
  <Override PartName="/word/charts/chart62.xml" ContentType="application/vnd.openxmlformats-officedocument.drawingml.chart+xml"/>
  <Override PartName="/word/drawings/drawing10.xml" ContentType="application/vnd.openxmlformats-officedocument.drawingml.chartshapes+xml"/>
  <Override PartName="/word/charts/chart22.xml" ContentType="application/vnd.openxmlformats-officedocument.drawingml.chart+xml"/>
  <Override PartName="/word/charts/chart33.xml" ContentType="application/vnd.openxmlformats-officedocument.drawingml.chart+xml"/>
  <Override PartName="/word/charts/chart51.xml" ContentType="application/vnd.openxmlformats-officedocument.drawingml.chart+xml"/>
  <Override PartName="/word/charts/chart1.xml" ContentType="application/vnd.openxmlformats-officedocument.drawingml.chart+xml"/>
  <Override PartName="/word/charts/chart11.xml" ContentType="application/vnd.openxmlformats-officedocument.drawingml.chart+xml"/>
  <Override PartName="/word/charts/chart40.xml" ContentType="application/vnd.openxmlformats-officedocument.drawingml.chart+xml"/>
  <Default Extension="png" ContentType="image/png"/>
  <Override PartName="/word/drawings/drawing48.xml" ContentType="application/vnd.openxmlformats-officedocument.drawingml.chartshapes+xml"/>
  <Override PartName="/word/drawings/drawing59.xml" ContentType="application/vnd.openxmlformats-officedocument.drawingml.chartshapes+xml"/>
  <Override PartName="/word/drawings/drawing7.xml" ContentType="application/vnd.openxmlformats-officedocument.drawingml.chartshapes+xml"/>
  <Override PartName="/word/drawings/drawing19.xml" ContentType="application/vnd.openxmlformats-officedocument.drawingml.chartshapes+xml"/>
  <Override PartName="/word/drawings/drawing37.xml" ContentType="application/vnd.openxmlformats-officedocument.drawingml.chartshapes+xml"/>
  <Override PartName="/word/charts/chart49.xml" ContentType="application/vnd.openxmlformats-officedocument.drawingml.chart+xml"/>
  <Override PartName="/word/drawings/drawing66.xml" ContentType="application/vnd.openxmlformats-officedocument.drawingml.chartshapes+xml"/>
  <Override PartName="/word/numbering.xml" ContentType="application/vnd.openxmlformats-officedocument.wordprocessingml.numbering+xml"/>
  <Override PartName="/word/endnotes.xml" ContentType="application/vnd.openxmlformats-officedocument.wordprocessingml.endnotes+xml"/>
  <Override PartName="/word/drawings/drawing3.xml" ContentType="application/vnd.openxmlformats-officedocument.drawingml.chartshapes+xml"/>
  <Override PartName="/word/drawings/drawing5.xml" ContentType="application/vnd.openxmlformats-officedocument.drawingml.chartshapes+xml"/>
  <Override PartName="/word/charts/chart8.xml" ContentType="application/vnd.openxmlformats-officedocument.drawingml.chart+xml"/>
  <Override PartName="/word/drawings/drawing17.xml" ContentType="application/vnd.openxmlformats-officedocument.drawingml.chartshapes+xml"/>
  <Override PartName="/word/drawings/drawing26.xml" ContentType="application/vnd.openxmlformats-officedocument.drawingml.chartshapes+xml"/>
  <Override PartName="/word/charts/chart29.xml" ContentType="application/vnd.openxmlformats-officedocument.drawingml.chart+xml"/>
  <Override PartName="/word/drawings/drawing35.xml" ContentType="application/vnd.openxmlformats-officedocument.drawingml.chartshapes+xml"/>
  <Override PartName="/word/charts/chart38.xml" ContentType="application/vnd.openxmlformats-officedocument.drawingml.chart+xml"/>
  <Override PartName="/word/drawings/drawing44.xml" ContentType="application/vnd.openxmlformats-officedocument.drawingml.chartshapes+xml"/>
  <Override PartName="/word/charts/chart47.xml" ContentType="application/vnd.openxmlformats-officedocument.drawingml.chart+xml"/>
  <Override PartName="/word/drawings/drawing55.xml" ContentType="application/vnd.openxmlformats-officedocument.drawingml.chartshapes+xml"/>
  <Override PartName="/word/charts/chart58.xml" ContentType="application/vnd.openxmlformats-officedocument.drawingml.chart+xml"/>
  <Override PartName="/word/drawings/drawing64.xml" ContentType="application/vnd.openxmlformats-officedocument.drawingml.chartshapes+xml"/>
  <Override PartName="/word/charts/chart67.xml" ContentType="application/vnd.openxmlformats-officedocument.drawingml.chart+xml"/>
  <Override PartName="/word/charts/chart76.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charts/chart6.xml" ContentType="application/vnd.openxmlformats-officedocument.drawingml.chart+xml"/>
  <Override PartName="/word/drawings/drawing15.xml" ContentType="application/vnd.openxmlformats-officedocument.drawingml.chartshapes+xml"/>
  <Override PartName="/word/charts/chart18.xml" ContentType="application/vnd.openxmlformats-officedocument.drawingml.chart+xml"/>
  <Override PartName="/word/drawings/drawing24.xml" ContentType="application/vnd.openxmlformats-officedocument.drawingml.chartshapes+xml"/>
  <Override PartName="/word/charts/chart27.xml" ContentType="application/vnd.openxmlformats-officedocument.drawingml.chart+xml"/>
  <Override PartName="/word/drawings/drawing33.xml" ContentType="application/vnd.openxmlformats-officedocument.drawingml.chartshapes+xml"/>
  <Override PartName="/word/charts/chart36.xml" ContentType="application/vnd.openxmlformats-officedocument.drawingml.chart+xml"/>
  <Override PartName="/word/drawings/drawing42.xml" ContentType="application/vnd.openxmlformats-officedocument.drawingml.chartshapes+xml"/>
  <Override PartName="/word/charts/chart45.xml" ContentType="application/vnd.openxmlformats-officedocument.drawingml.chart+xml"/>
  <Override PartName="/word/drawings/drawing53.xml" ContentType="application/vnd.openxmlformats-officedocument.drawingml.chartshapes+xml"/>
  <Override PartName="/word/charts/chart54.xml" ContentType="application/vnd.openxmlformats-officedocument.drawingml.chart+xml"/>
  <Override PartName="/word/charts/chart56.xml" ContentType="application/vnd.openxmlformats-officedocument.drawingml.chart+xml"/>
  <Override PartName="/word/drawings/drawing62.xml" ContentType="application/vnd.openxmlformats-officedocument.drawingml.chartshapes+xml"/>
  <Override PartName="/word/charts/chart65.xml" ContentType="application/vnd.openxmlformats-officedocument.drawingml.chart+xml"/>
  <Override PartName="/word/charts/chart74.xml" ContentType="application/vnd.openxmlformats-officedocument.drawingml.chart+xml"/>
  <Override PartName="/word/charts/chart4.xml" ContentType="application/vnd.openxmlformats-officedocument.drawingml.chart+xml"/>
  <Override PartName="/word/drawings/drawing13.xml" ContentType="application/vnd.openxmlformats-officedocument.drawingml.chartshapes+xml"/>
  <Override PartName="/word/charts/chart16.xml" ContentType="application/vnd.openxmlformats-officedocument.drawingml.chart+xml"/>
  <Override PartName="/word/drawings/drawing22.xml" ContentType="application/vnd.openxmlformats-officedocument.drawingml.chartshapes+xml"/>
  <Override PartName="/word/charts/chart25.xml" ContentType="application/vnd.openxmlformats-officedocument.drawingml.chart+xml"/>
  <Override PartName="/word/drawings/drawing31.xml" ContentType="application/vnd.openxmlformats-officedocument.drawingml.chartshapes+xml"/>
  <Override PartName="/word/charts/chart34.xml" ContentType="application/vnd.openxmlformats-officedocument.drawingml.chart+xml"/>
  <Override PartName="/word/drawings/drawing40.xml" ContentType="application/vnd.openxmlformats-officedocument.drawingml.chartshapes+xml"/>
  <Override PartName="/word/charts/chart43.xml" ContentType="application/vnd.openxmlformats-officedocument.drawingml.chart+xml"/>
  <Override PartName="/word/drawings/drawing51.xml" ContentType="application/vnd.openxmlformats-officedocument.drawingml.chartshapes+xml"/>
  <Override PartName="/word/charts/chart52.xml" ContentType="application/vnd.openxmlformats-officedocument.drawingml.chart+xml"/>
  <Override PartName="/word/drawings/drawing60.xml" ContentType="application/vnd.openxmlformats-officedocument.drawingml.chartshapes+xml"/>
  <Override PartName="/word/charts/chart63.xml" ContentType="application/vnd.openxmlformats-officedocument.drawingml.chart+xml"/>
  <Override PartName="/word/charts/chart72.xml" ContentType="application/vnd.openxmlformats-officedocument.drawingml.chart+xml"/>
  <Override PartName="/word/theme/theme1.xml" ContentType="application/vnd.openxmlformats-officedocument.theme+xml"/>
  <Override PartName="/word/charts/chart2.xml" ContentType="application/vnd.openxmlformats-officedocument.drawingml.chart+xml"/>
  <Override PartName="/word/drawings/drawing11.xml" ContentType="application/vnd.openxmlformats-officedocument.drawingml.chartshapes+xml"/>
  <Override PartName="/word/charts/chart14.xml" ContentType="application/vnd.openxmlformats-officedocument.drawingml.chart+xml"/>
  <Override PartName="/word/drawings/drawing20.xml" ContentType="application/vnd.openxmlformats-officedocument.drawingml.chartshapes+xml"/>
  <Override PartName="/word/charts/chart23.xml" ContentType="application/vnd.openxmlformats-officedocument.drawingml.chart+xml"/>
  <Override PartName="/word/charts/chart32.xml" ContentType="application/vnd.openxmlformats-officedocument.drawingml.chart+xml"/>
  <Override PartName="/word/charts/chart41.xml" ContentType="application/vnd.openxmlformats-officedocument.drawingml.chart+xml"/>
  <Override PartName="/word/charts/chart50.xml" ContentType="application/vnd.openxmlformats-officedocument.drawingml.chart+xml"/>
  <Override PartName="/word/charts/chart61.xml" ContentType="application/vnd.openxmlformats-officedocument.drawingml.chart+xml"/>
  <Override PartName="/word/charts/chart70.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2.xml" ContentType="application/vnd.openxmlformats-officedocument.drawingml.chart+xml"/>
  <Override PartName="/word/charts/chart21.xml" ContentType="application/vnd.openxmlformats-officedocument.drawingml.chart+xml"/>
  <Override PartName="/word/charts/chart30.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Override PartName="/word/footnotes.xml" ContentType="application/vnd.openxmlformats-officedocument.wordprocessingml.footnotes+xml"/>
  <Override PartName="/word/drawings/drawing8.xml" ContentType="application/vnd.openxmlformats-officedocument.drawingml.chartshapes+xml"/>
  <Override PartName="/word/drawings/drawing49.xml" ContentType="application/vnd.openxmlformats-officedocument.drawingml.chartshapes+xml"/>
  <Override PartName="/word/drawings/drawing67.xml" ContentType="application/vnd.openxmlformats-officedocument.drawingml.chartshapes+xml"/>
  <Override PartName="/word/drawings/drawing38.xml" ContentType="application/vnd.openxmlformats-officedocument.drawingml.chartshapes+xml"/>
  <Override PartName="/word/drawings/drawing56.xml" ContentType="application/vnd.openxmlformats-officedocument.drawingml.chartshapes+xml"/>
  <Override PartName="/word/charts/chart68.xml" ContentType="application/vnd.openxmlformats-officedocument.drawingml.chart+xml"/>
  <Default Extension="rels" ContentType="application/vnd.openxmlformats-package.relationships+xml"/>
  <Override PartName="/word/drawings/drawing4.xml" ContentType="application/vnd.openxmlformats-officedocument.drawingml.chartshapes+xml"/>
  <Override PartName="/word/drawings/drawing16.xml" ContentType="application/vnd.openxmlformats-officedocument.drawingml.chartshapes+xml"/>
  <Override PartName="/word/drawings/drawing27.xml" ContentType="application/vnd.openxmlformats-officedocument.drawingml.chartshapes+xml"/>
  <Override PartName="/word/charts/chart28.xml" ContentType="application/vnd.openxmlformats-officedocument.drawingml.chart+xml"/>
  <Override PartName="/word/charts/chart39.xml" ContentType="application/vnd.openxmlformats-officedocument.drawingml.chart+xml"/>
  <Override PartName="/word/drawings/drawing45.xml" ContentType="application/vnd.openxmlformats-officedocument.drawingml.chartshapes+xml"/>
  <Override PartName="/word/charts/chart57.xml" ContentType="application/vnd.openxmlformats-officedocument.drawingml.chart+xml"/>
  <Override PartName="/word/drawings/drawing63.xml" ContentType="application/vnd.openxmlformats-officedocument.drawingml.chartshapes+xml"/>
  <Override PartName="/word/charts/chart75.xml" ContentType="application/vnd.openxmlformats-officedocument.drawingml.chart+xml"/>
  <Override PartName="/word/charts/chart7.xml" ContentType="application/vnd.openxmlformats-officedocument.drawingml.chart+xml"/>
  <Override PartName="/word/charts/chart17.xml" ContentType="application/vnd.openxmlformats-officedocument.drawingml.chart+xml"/>
  <Override PartName="/word/drawings/drawing23.xml" ContentType="application/vnd.openxmlformats-officedocument.drawingml.chartshapes+xml"/>
  <Override PartName="/word/drawings/drawing34.xml" ContentType="application/vnd.openxmlformats-officedocument.drawingml.chartshapes+xml"/>
  <Override PartName="/word/charts/chart46.xml" ContentType="application/vnd.openxmlformats-officedocument.drawingml.chart+xml"/>
  <Override PartName="/word/drawings/drawing52.xml" ContentType="application/vnd.openxmlformats-officedocument.drawingml.chartshapes+xml"/>
  <Override PartName="/word/charts/chart64.xml" ContentType="application/vnd.openxmlformats-officedocument.drawingml.chart+xml"/>
  <Override PartName="/word/drawings/drawing70.xml" ContentType="application/vnd.openxmlformats-officedocument.drawingml.chartshapes+xml"/>
  <Override PartName="/word/drawings/drawing12.xml" ContentType="application/vnd.openxmlformats-officedocument.drawingml.chartshapes+xml"/>
  <Override PartName="/word/charts/chart24.xml" ContentType="application/vnd.openxmlformats-officedocument.drawingml.chart+xml"/>
  <Override PartName="/word/charts/chart35.xml" ContentType="application/vnd.openxmlformats-officedocument.drawingml.chart+xml"/>
  <Override PartName="/word/drawings/drawing41.xml" ContentType="application/vnd.openxmlformats-officedocument.drawingml.chartshapes+xml"/>
  <Override PartName="/word/charts/chart53.xml" ContentType="application/vnd.openxmlformats-officedocument.drawingml.chart+xml"/>
  <Override PartName="/word/charts/chart71.xml" ContentType="application/vnd.openxmlformats-officedocument.drawingml.chart+xml"/>
  <Override PartName="/word/footer1.xml" ContentType="application/vnd.openxmlformats-officedocument.wordprocessingml.footer+xml"/>
  <Override PartName="/word/charts/chart3.xml" ContentType="application/vnd.openxmlformats-officedocument.drawingml.chart+xml"/>
  <Override PartName="/word/charts/chart13.xml" ContentType="application/vnd.openxmlformats-officedocument.drawingml.chart+xml"/>
  <Override PartName="/word/drawings/drawing30.xml" ContentType="application/vnd.openxmlformats-officedocument.drawingml.chartshapes+xml"/>
  <Override PartName="/word/charts/chart31.xml" ContentType="application/vnd.openxmlformats-officedocument.drawingml.chart+xml"/>
  <Override PartName="/word/charts/chart42.xml" ContentType="application/vnd.openxmlformats-officedocument.drawingml.chart+xml"/>
  <Override PartName="/word/charts/chart60.xml" ContentType="application/vnd.openxmlformats-officedocument.drawingml.chart+xml"/>
  <Override PartName="/word/charts/chart20.xml" ContentType="application/vnd.openxmlformats-officedocument.drawingml.chart+xml"/>
  <Override PartName="/word/drawings/drawing9.xml" ContentType="application/vnd.openxmlformats-officedocument.drawingml.chartshapes+xml"/>
  <Override PartName="/word/drawings/drawing39.xml" ContentType="application/vnd.openxmlformats-officedocument.drawingml.chartshapes+xml"/>
  <Override PartName="/word/drawings/drawing68.xml" ContentType="application/vnd.openxmlformats-officedocument.drawingml.chartshapes+xml"/>
  <Override PartName="/word/drawings/drawing28.xml" ContentType="application/vnd.openxmlformats-officedocument.drawingml.chartshapes+xml"/>
  <Override PartName="/word/drawings/drawing46.xml" ContentType="application/vnd.openxmlformats-officedocument.drawingml.chartshapes+xml"/>
  <Override PartName="/word/drawings/drawing57.xml" ContentType="application/vnd.openxmlformats-officedocument.drawingml.chartshapes+xml"/>
  <Override PartName="/word/charts/chart69.xml" ContentType="application/vnd.openxmlformats-officedocument.drawingml.chart+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66E7" w:rsidRPr="0067253E" w:rsidRDefault="006C66E7" w:rsidP="006C66E7">
      <w:pPr>
        <w:spacing w:before="0" w:after="0" w:line="360" w:lineRule="auto"/>
        <w:ind w:firstLine="0"/>
        <w:contextualSpacing/>
        <w:jc w:val="both"/>
        <w:rPr>
          <w:rFonts w:asciiTheme="majorBidi" w:hAnsiTheme="majorBidi" w:cstheme="majorBidi"/>
          <w:b/>
          <w:bCs/>
          <w:sz w:val="28"/>
          <w:szCs w:val="28"/>
        </w:rPr>
      </w:pPr>
      <w:r w:rsidRPr="0067253E">
        <w:rPr>
          <w:rFonts w:asciiTheme="majorBidi" w:hAnsiTheme="majorBidi" w:cstheme="majorBidi"/>
          <w:b/>
          <w:bCs/>
          <w:sz w:val="28"/>
          <w:szCs w:val="28"/>
        </w:rPr>
        <w:t>CHAPITRE V : RESULTATS ET DISCUSSION</w:t>
      </w:r>
      <w:r>
        <w:rPr>
          <w:rFonts w:asciiTheme="majorBidi" w:hAnsiTheme="majorBidi" w:cstheme="majorBidi"/>
          <w:b/>
          <w:bCs/>
          <w:sz w:val="28"/>
          <w:szCs w:val="28"/>
        </w:rPr>
        <w:t>.</w:t>
      </w:r>
    </w:p>
    <w:p w:rsidR="006C66E7" w:rsidRPr="0067253E" w:rsidRDefault="006C66E7" w:rsidP="006C66E7">
      <w:pPr>
        <w:spacing w:before="0" w:after="0" w:line="360" w:lineRule="auto"/>
        <w:contextualSpacing/>
        <w:jc w:val="both"/>
        <w:rPr>
          <w:rFonts w:asciiTheme="majorBidi" w:hAnsiTheme="majorBidi" w:cstheme="majorBidi"/>
          <w:b/>
          <w:bCs/>
          <w:sz w:val="28"/>
          <w:szCs w:val="28"/>
        </w:rPr>
      </w:pPr>
    </w:p>
    <w:p w:rsidR="006C66E7" w:rsidRPr="0067253E" w:rsidRDefault="006C66E7" w:rsidP="002203B9">
      <w:pPr>
        <w:spacing w:before="0" w:after="0" w:line="360" w:lineRule="auto"/>
        <w:ind w:left="993" w:hanging="567"/>
        <w:contextualSpacing/>
        <w:jc w:val="both"/>
        <w:rPr>
          <w:rFonts w:asciiTheme="majorBidi" w:hAnsiTheme="majorBidi" w:cstheme="majorBidi"/>
          <w:b/>
          <w:bCs/>
        </w:rPr>
      </w:pPr>
      <w:r w:rsidRPr="0067253E">
        <w:rPr>
          <w:rFonts w:asciiTheme="majorBidi" w:hAnsiTheme="majorBidi" w:cstheme="majorBidi"/>
          <w:b/>
          <w:bCs/>
        </w:rPr>
        <w:t xml:space="preserve">V.1. Effets des divers ingrédients protéiques laitiers sur la cinétique de croissance </w:t>
      </w:r>
      <w:r>
        <w:rPr>
          <w:rFonts w:asciiTheme="majorBidi" w:hAnsiTheme="majorBidi" w:cstheme="majorBidi"/>
          <w:b/>
          <w:bCs/>
        </w:rPr>
        <w:t xml:space="preserve">des souches </w:t>
      </w:r>
      <w:r w:rsidRPr="0067253E">
        <w:rPr>
          <w:rFonts w:asciiTheme="majorBidi" w:hAnsiTheme="majorBidi" w:cstheme="majorBidi"/>
          <w:b/>
          <w:bCs/>
        </w:rPr>
        <w:t>et d’acidification</w:t>
      </w:r>
      <w:r>
        <w:rPr>
          <w:rFonts w:asciiTheme="majorBidi" w:hAnsiTheme="majorBidi" w:cstheme="majorBidi"/>
          <w:b/>
          <w:bCs/>
        </w:rPr>
        <w:t xml:space="preserve"> du lait.</w:t>
      </w:r>
    </w:p>
    <w:p w:rsidR="006C66E7" w:rsidRPr="0067253E" w:rsidRDefault="006C66E7" w:rsidP="006C66E7">
      <w:pPr>
        <w:spacing w:before="0" w:after="0" w:line="360" w:lineRule="auto"/>
        <w:ind w:hanging="540"/>
        <w:contextualSpacing/>
        <w:jc w:val="both"/>
        <w:rPr>
          <w:rFonts w:asciiTheme="majorBidi" w:hAnsiTheme="majorBidi" w:cstheme="majorBidi"/>
          <w:b/>
          <w:bCs/>
        </w:rPr>
      </w:pPr>
    </w:p>
    <w:p w:rsidR="006C66E7" w:rsidRPr="0067253E" w:rsidRDefault="006C66E7" w:rsidP="002203B9">
      <w:pPr>
        <w:spacing w:before="0" w:after="0" w:line="360" w:lineRule="auto"/>
        <w:ind w:left="1134" w:hanging="708"/>
        <w:contextualSpacing/>
        <w:jc w:val="both"/>
        <w:rPr>
          <w:rFonts w:asciiTheme="majorBidi" w:hAnsiTheme="majorBidi" w:cstheme="majorBidi"/>
          <w:b/>
          <w:bCs/>
        </w:rPr>
      </w:pPr>
      <w:r w:rsidRPr="0067253E">
        <w:rPr>
          <w:rFonts w:asciiTheme="majorBidi" w:hAnsiTheme="majorBidi" w:cstheme="majorBidi"/>
          <w:b/>
          <w:bCs/>
        </w:rPr>
        <w:t xml:space="preserve">V.1.1. Cas d’une culture de </w:t>
      </w:r>
      <w:r w:rsidRPr="0067253E">
        <w:rPr>
          <w:rFonts w:asciiTheme="majorBidi" w:hAnsiTheme="majorBidi" w:cstheme="majorBidi"/>
          <w:b/>
          <w:bCs/>
          <w:i/>
          <w:iCs/>
        </w:rPr>
        <w:t>Streptococcus thermophilus</w:t>
      </w:r>
      <w:r w:rsidRPr="0067253E">
        <w:rPr>
          <w:rFonts w:asciiTheme="majorBidi" w:hAnsiTheme="majorBidi" w:cstheme="majorBidi"/>
          <w:b/>
          <w:bCs/>
        </w:rPr>
        <w:t xml:space="preserve"> en présence d’une souche bénéfique</w:t>
      </w:r>
      <w:r>
        <w:rPr>
          <w:rFonts w:asciiTheme="majorBidi" w:hAnsiTheme="majorBidi" w:cstheme="majorBidi"/>
          <w:b/>
          <w:bCs/>
        </w:rPr>
        <w:t>.</w:t>
      </w:r>
    </w:p>
    <w:p w:rsidR="006C66E7" w:rsidRPr="0067253E" w:rsidRDefault="006C66E7" w:rsidP="006C66E7">
      <w:pPr>
        <w:spacing w:before="0" w:after="0" w:line="360" w:lineRule="auto"/>
        <w:ind w:firstLine="360"/>
        <w:contextualSpacing/>
        <w:jc w:val="both"/>
        <w:rPr>
          <w:rFonts w:asciiTheme="majorBidi" w:hAnsiTheme="majorBidi" w:cstheme="majorBidi"/>
          <w:b/>
          <w:bCs/>
        </w:rPr>
      </w:pPr>
    </w:p>
    <w:p w:rsidR="006C66E7" w:rsidRPr="0067253E" w:rsidRDefault="006C66E7" w:rsidP="006C66E7">
      <w:pPr>
        <w:spacing w:before="0" w:after="0" w:line="360" w:lineRule="auto"/>
        <w:ind w:firstLine="360"/>
        <w:contextualSpacing/>
        <w:jc w:val="both"/>
        <w:rPr>
          <w:rFonts w:asciiTheme="majorBidi" w:hAnsiTheme="majorBidi" w:cstheme="majorBidi"/>
          <w:b/>
          <w:bCs/>
        </w:rPr>
      </w:pPr>
      <w:r w:rsidRPr="0067253E">
        <w:rPr>
          <w:rFonts w:asciiTheme="majorBidi" w:hAnsiTheme="majorBidi" w:cstheme="majorBidi"/>
          <w:b/>
          <w:bCs/>
        </w:rPr>
        <w:t>V.1.1.1. Cinétique de croissance</w:t>
      </w:r>
      <w:r>
        <w:rPr>
          <w:rFonts w:asciiTheme="majorBidi" w:hAnsiTheme="majorBidi" w:cstheme="majorBidi"/>
          <w:b/>
          <w:bCs/>
        </w:rPr>
        <w:t xml:space="preserve"> des souches.</w:t>
      </w:r>
    </w:p>
    <w:p w:rsidR="006C66E7" w:rsidRPr="0067253E" w:rsidRDefault="006C66E7" w:rsidP="006C66E7">
      <w:pPr>
        <w:spacing w:before="0" w:after="0" w:line="360" w:lineRule="auto"/>
        <w:ind w:firstLine="360"/>
        <w:contextualSpacing/>
        <w:jc w:val="both"/>
        <w:rPr>
          <w:rFonts w:asciiTheme="majorBidi" w:hAnsiTheme="majorBidi" w:cstheme="majorBidi"/>
          <w:b/>
          <w:bCs/>
        </w:rPr>
      </w:pPr>
    </w:p>
    <w:p w:rsidR="006C66E7" w:rsidRPr="0067253E" w:rsidRDefault="006C66E7" w:rsidP="006C66E7">
      <w:pPr>
        <w:spacing w:before="0" w:after="0" w:line="360" w:lineRule="auto"/>
        <w:ind w:firstLine="360"/>
        <w:contextualSpacing/>
        <w:jc w:val="both"/>
        <w:rPr>
          <w:rFonts w:asciiTheme="majorBidi" w:hAnsiTheme="majorBidi" w:cstheme="majorBidi"/>
        </w:rPr>
      </w:pPr>
      <w:r>
        <w:rPr>
          <w:rFonts w:asciiTheme="majorBidi" w:hAnsiTheme="majorBidi" w:cstheme="majorBidi"/>
        </w:rPr>
        <w:t xml:space="preserve">Les quantités de </w:t>
      </w:r>
      <w:r w:rsidRPr="0067253E">
        <w:rPr>
          <w:rFonts w:asciiTheme="majorBidi" w:hAnsiTheme="majorBidi" w:cstheme="majorBidi"/>
        </w:rPr>
        <w:t xml:space="preserve">biomasse des cinq souches bénéfiques BLR, LbRE-LSAS, Bb12, Lba CECT4529 et Lbp CECT748 en coculture avec la souche lactique </w:t>
      </w:r>
      <w:r w:rsidRPr="009C7870">
        <w:rPr>
          <w:rFonts w:asciiTheme="majorBidi" w:hAnsiTheme="majorBidi" w:cstheme="majorBidi"/>
          <w:i/>
          <w:iCs/>
        </w:rPr>
        <w:t>Streptococcus thermophilus</w:t>
      </w:r>
      <w:r w:rsidRPr="0067253E">
        <w:rPr>
          <w:rFonts w:asciiTheme="majorBidi" w:hAnsiTheme="majorBidi" w:cstheme="majorBidi"/>
        </w:rPr>
        <w:t xml:space="preserve"> et en absence d’ingrédients protéiques laitiers (témoin), sont de l’ordre de 8.85, 9.79, 9.38, 9.67 et 9.24 logUFC/ml, respectivement</w:t>
      </w:r>
      <w:r>
        <w:rPr>
          <w:rFonts w:asciiTheme="majorBidi" w:hAnsiTheme="majorBidi" w:cstheme="majorBidi"/>
        </w:rPr>
        <w:t xml:space="preserve"> </w:t>
      </w:r>
      <w:r w:rsidRPr="009274B0">
        <w:rPr>
          <w:rFonts w:asciiTheme="majorBidi" w:hAnsiTheme="majorBidi" w:cstheme="majorBidi"/>
          <w:color w:val="0000FF"/>
        </w:rPr>
        <w:t>(figure 2)</w:t>
      </w:r>
      <w:r w:rsidRPr="0067253E">
        <w:rPr>
          <w:rFonts w:asciiTheme="majorBidi" w:hAnsiTheme="majorBidi" w:cstheme="majorBidi"/>
        </w:rPr>
        <w:t xml:space="preserve">, avec des vitesses spécifiques </w:t>
      </w:r>
      <w:r>
        <w:rPr>
          <w:rFonts w:asciiTheme="majorBidi" w:hAnsiTheme="majorBidi" w:cstheme="majorBidi"/>
        </w:rPr>
        <w:t xml:space="preserve">maximales </w:t>
      </w:r>
      <w:r w:rsidRPr="0067253E">
        <w:rPr>
          <w:rFonts w:asciiTheme="majorBidi" w:hAnsiTheme="majorBidi" w:cstheme="majorBidi"/>
        </w:rPr>
        <w:t>de croissance de l’ordre de 0.37, 1.04, 0.7, 0.89 et 0.63 h</w:t>
      </w:r>
      <w:r w:rsidRPr="0067253E">
        <w:rPr>
          <w:rFonts w:asciiTheme="majorBidi" w:hAnsiTheme="majorBidi" w:cstheme="majorBidi"/>
          <w:vertAlign w:val="superscript"/>
        </w:rPr>
        <w:t>-1</w:t>
      </w:r>
      <w:r w:rsidRPr="0067253E">
        <w:rPr>
          <w:rFonts w:asciiTheme="majorBidi" w:hAnsiTheme="majorBidi" w:cstheme="majorBidi"/>
        </w:rPr>
        <w:t xml:space="preserve"> et des temps de génération respectifs de l’ordre 1.83, 0.65, 0.98, 0.77 et 1.08 h. Cette </w:t>
      </w:r>
      <w:r>
        <w:rPr>
          <w:rFonts w:asciiTheme="majorBidi" w:hAnsiTheme="majorBidi" w:cstheme="majorBidi"/>
        </w:rPr>
        <w:t xml:space="preserve">combinaison de </w:t>
      </w:r>
      <w:r w:rsidRPr="009C7870">
        <w:rPr>
          <w:rFonts w:asciiTheme="majorBidi" w:hAnsiTheme="majorBidi" w:cstheme="majorBidi"/>
          <w:i/>
          <w:iCs/>
        </w:rPr>
        <w:t>Streptococcus thermophilus</w:t>
      </w:r>
      <w:r>
        <w:rPr>
          <w:rFonts w:asciiTheme="majorBidi" w:hAnsiTheme="majorBidi" w:cstheme="majorBidi"/>
        </w:rPr>
        <w:t xml:space="preserve"> avec l’une à l’autre souche bénéfique prolonge le </w:t>
      </w:r>
      <w:r w:rsidRPr="0067253E">
        <w:rPr>
          <w:rFonts w:asciiTheme="majorBidi" w:hAnsiTheme="majorBidi" w:cstheme="majorBidi"/>
        </w:rPr>
        <w:t xml:space="preserve">de coagulation </w:t>
      </w:r>
      <w:r>
        <w:rPr>
          <w:rFonts w:asciiTheme="majorBidi" w:hAnsiTheme="majorBidi" w:cstheme="majorBidi"/>
        </w:rPr>
        <w:t xml:space="preserve">du lait d’environ 40 min par rapport à l’essai réalisé avec les deux ferments lactiques à la fois et une souche bénéfiques </w:t>
      </w:r>
      <w:r w:rsidRPr="000A2A0E">
        <w:rPr>
          <w:rFonts w:asciiTheme="majorBidi" w:hAnsiTheme="majorBidi" w:cstheme="majorBidi"/>
          <w:color w:val="0000FF"/>
        </w:rPr>
        <w:t>(tableau 14)</w:t>
      </w:r>
      <w:r w:rsidRPr="0067253E">
        <w:rPr>
          <w:rFonts w:asciiTheme="majorBidi" w:hAnsiTheme="majorBidi" w:cstheme="majorBidi"/>
        </w:rPr>
        <w:t>.</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Pr="0067253E" w:rsidRDefault="006C66E7" w:rsidP="006C66E7">
      <w:pPr>
        <w:spacing w:before="0" w:after="0" w:line="360" w:lineRule="auto"/>
        <w:ind w:firstLine="360"/>
        <w:contextualSpacing/>
        <w:jc w:val="both"/>
        <w:rPr>
          <w:rFonts w:asciiTheme="majorBidi" w:hAnsiTheme="majorBidi" w:cstheme="majorBidi"/>
        </w:rPr>
      </w:pPr>
      <w:r>
        <w:rPr>
          <w:rFonts w:asciiTheme="majorBidi" w:hAnsiTheme="majorBidi" w:cstheme="majorBidi"/>
        </w:rPr>
        <w:t>La quantité</w:t>
      </w:r>
      <w:r w:rsidRPr="0067253E">
        <w:rPr>
          <w:rFonts w:asciiTheme="majorBidi" w:hAnsiTheme="majorBidi" w:cstheme="majorBidi"/>
        </w:rPr>
        <w:t xml:space="preserve"> biomasse </w:t>
      </w:r>
      <w:r w:rsidRPr="009C7870">
        <w:rPr>
          <w:rFonts w:asciiTheme="majorBidi" w:hAnsiTheme="majorBidi" w:cstheme="majorBidi"/>
        </w:rPr>
        <w:t>Streptococcique</w:t>
      </w:r>
      <w:r>
        <w:rPr>
          <w:rFonts w:asciiTheme="majorBidi" w:hAnsiTheme="majorBidi" w:cstheme="majorBidi"/>
          <w:i/>
          <w:iCs/>
        </w:rPr>
        <w:t xml:space="preserve"> </w:t>
      </w:r>
      <w:r w:rsidRPr="005979DC">
        <w:rPr>
          <w:rFonts w:asciiTheme="majorBidi" w:hAnsiTheme="majorBidi" w:cstheme="majorBidi"/>
        </w:rPr>
        <w:t>oscille</w:t>
      </w:r>
      <w:r w:rsidRPr="0067253E">
        <w:rPr>
          <w:rFonts w:asciiTheme="majorBidi" w:hAnsiTheme="majorBidi" w:cstheme="majorBidi"/>
        </w:rPr>
        <w:t xml:space="preserve"> entre 8.21 et 8.82 log UFC/ml</w:t>
      </w:r>
      <w:r>
        <w:rPr>
          <w:rFonts w:asciiTheme="majorBidi" w:hAnsiTheme="majorBidi" w:cstheme="majorBidi"/>
        </w:rPr>
        <w:t xml:space="preserve"> </w:t>
      </w:r>
      <w:r w:rsidRPr="009274B0">
        <w:rPr>
          <w:rFonts w:asciiTheme="majorBidi" w:hAnsiTheme="majorBidi" w:cstheme="majorBidi"/>
          <w:color w:val="0000FF"/>
        </w:rPr>
        <w:t>(figure 3)</w:t>
      </w:r>
      <w:r w:rsidRPr="0067253E">
        <w:rPr>
          <w:rFonts w:asciiTheme="majorBidi" w:hAnsiTheme="majorBidi" w:cstheme="majorBidi"/>
        </w:rPr>
        <w:t xml:space="preserve"> avec des vitesses spécifiques maximales de croissance de l’ordre de 0.57 à 0.94 h</w:t>
      </w:r>
      <w:r w:rsidRPr="0067253E">
        <w:rPr>
          <w:rFonts w:asciiTheme="majorBidi" w:hAnsiTheme="majorBidi" w:cstheme="majorBidi"/>
          <w:vertAlign w:val="superscript"/>
        </w:rPr>
        <w:t>-1</w:t>
      </w:r>
      <w:r w:rsidRPr="0067253E">
        <w:rPr>
          <w:rFonts w:asciiTheme="majorBidi" w:hAnsiTheme="majorBidi" w:cstheme="majorBidi"/>
        </w:rPr>
        <w:t>.</w:t>
      </w: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La </w:t>
      </w:r>
      <w:r>
        <w:rPr>
          <w:rFonts w:asciiTheme="majorBidi" w:hAnsiTheme="majorBidi" w:cstheme="majorBidi"/>
        </w:rPr>
        <w:t>biomasse produite par l</w:t>
      </w:r>
      <w:r w:rsidRPr="0067253E">
        <w:rPr>
          <w:rFonts w:asciiTheme="majorBidi" w:hAnsiTheme="majorBidi" w:cstheme="majorBidi"/>
        </w:rPr>
        <w:t xml:space="preserve">es cinq souches bénéfiques BLR, LbRE-LSAS, Bb12, Lba CECT4529 et Lbp CECT748 </w:t>
      </w:r>
      <w:r>
        <w:rPr>
          <w:rFonts w:asciiTheme="majorBidi" w:hAnsiTheme="majorBidi" w:cstheme="majorBidi"/>
        </w:rPr>
        <w:t xml:space="preserve">en présence de lactosérum doux est </w:t>
      </w:r>
      <w:r w:rsidRPr="0067253E">
        <w:rPr>
          <w:rFonts w:asciiTheme="majorBidi" w:hAnsiTheme="majorBidi" w:cstheme="majorBidi"/>
        </w:rPr>
        <w:t>significativement (P&lt;0.05) améliorée par rapport au témoin (8.47 à 13.89%)</w:t>
      </w:r>
      <w:r>
        <w:rPr>
          <w:rFonts w:asciiTheme="majorBidi" w:hAnsiTheme="majorBidi" w:cstheme="majorBidi"/>
        </w:rPr>
        <w:t xml:space="preserve"> et </w:t>
      </w:r>
      <w:r w:rsidRPr="0067253E">
        <w:rPr>
          <w:rFonts w:asciiTheme="majorBidi" w:hAnsiTheme="majorBidi" w:cstheme="majorBidi"/>
        </w:rPr>
        <w:t>vari</w:t>
      </w:r>
      <w:r>
        <w:rPr>
          <w:rFonts w:asciiTheme="majorBidi" w:hAnsiTheme="majorBidi" w:cstheme="majorBidi"/>
        </w:rPr>
        <w:t>e</w:t>
      </w:r>
      <w:r w:rsidRPr="0067253E">
        <w:rPr>
          <w:rFonts w:asciiTheme="majorBidi" w:hAnsiTheme="majorBidi" w:cstheme="majorBidi"/>
        </w:rPr>
        <w:t xml:space="preserve"> de 10.08 à 10.62 log UFC/ml</w:t>
      </w:r>
      <w:r>
        <w:rPr>
          <w:rFonts w:asciiTheme="majorBidi" w:hAnsiTheme="majorBidi" w:cstheme="majorBidi"/>
        </w:rPr>
        <w:t xml:space="preserve"> a</w:t>
      </w:r>
      <w:r w:rsidRPr="0067253E">
        <w:rPr>
          <w:rFonts w:asciiTheme="majorBidi" w:hAnsiTheme="majorBidi" w:cstheme="majorBidi"/>
        </w:rPr>
        <w:t>vec des vitesses spécifiques maximales de croissance et des temps de coagulation respecti</w:t>
      </w:r>
      <w:r>
        <w:rPr>
          <w:rFonts w:asciiTheme="majorBidi" w:hAnsiTheme="majorBidi" w:cstheme="majorBidi"/>
        </w:rPr>
        <w:t xml:space="preserve">fs variables de </w:t>
      </w:r>
      <w:r w:rsidRPr="0067253E">
        <w:rPr>
          <w:rFonts w:asciiTheme="majorBidi" w:hAnsiTheme="majorBidi" w:cstheme="majorBidi"/>
        </w:rPr>
        <w:t>1.81 à 2.16 h</w:t>
      </w:r>
      <w:r w:rsidRPr="0067253E">
        <w:rPr>
          <w:rFonts w:asciiTheme="majorBidi" w:hAnsiTheme="majorBidi" w:cstheme="majorBidi"/>
          <w:vertAlign w:val="superscript"/>
        </w:rPr>
        <w:t>-1</w:t>
      </w:r>
      <w:r w:rsidRPr="0067253E">
        <w:rPr>
          <w:rFonts w:asciiTheme="majorBidi" w:hAnsiTheme="majorBidi" w:cstheme="majorBidi"/>
        </w:rPr>
        <w:t xml:space="preserve"> et </w:t>
      </w:r>
      <w:r>
        <w:rPr>
          <w:rFonts w:asciiTheme="majorBidi" w:hAnsiTheme="majorBidi" w:cstheme="majorBidi"/>
        </w:rPr>
        <w:t xml:space="preserve">de </w:t>
      </w:r>
      <w:r w:rsidRPr="0067253E">
        <w:rPr>
          <w:rFonts w:asciiTheme="majorBidi" w:hAnsiTheme="majorBidi" w:cstheme="majorBidi"/>
        </w:rPr>
        <w:t>0.31 à 0.37 h, avec un temps de fermentation significativement (P&lt;0.05) réduit de 1h34 à 2h24 min par rapport au témoin (66.58 à 74.52%).</w:t>
      </w:r>
    </w:p>
    <w:p w:rsidR="006C66E7"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Pr>
          <w:rFonts w:asciiTheme="majorBidi" w:hAnsiTheme="majorBidi" w:cstheme="majorBidi"/>
        </w:rPr>
        <w:t xml:space="preserve">La présence de lactosérum doux, </w:t>
      </w:r>
      <w:r w:rsidRPr="0067253E">
        <w:rPr>
          <w:rFonts w:asciiTheme="majorBidi" w:hAnsiTheme="majorBidi" w:cstheme="majorBidi"/>
          <w:i/>
          <w:iCs/>
        </w:rPr>
        <w:t>Streptococcus</w:t>
      </w:r>
      <w:r w:rsidRPr="0067253E">
        <w:rPr>
          <w:rFonts w:asciiTheme="majorBidi" w:hAnsiTheme="majorBidi" w:cstheme="majorBidi"/>
        </w:rPr>
        <w:t xml:space="preserve"> </w:t>
      </w:r>
      <w:r w:rsidRPr="0067253E">
        <w:rPr>
          <w:rFonts w:asciiTheme="majorBidi" w:hAnsiTheme="majorBidi" w:cstheme="majorBidi"/>
          <w:i/>
          <w:iCs/>
        </w:rPr>
        <w:t>thermophilus</w:t>
      </w:r>
      <w:r w:rsidRPr="0067253E">
        <w:rPr>
          <w:rFonts w:asciiTheme="majorBidi" w:hAnsiTheme="majorBidi" w:cstheme="majorBidi"/>
        </w:rPr>
        <w:t xml:space="preserve"> affiche des quantités de biomasse </w:t>
      </w:r>
      <w:r>
        <w:rPr>
          <w:rFonts w:asciiTheme="majorBidi" w:hAnsiTheme="majorBidi" w:cstheme="majorBidi"/>
        </w:rPr>
        <w:t xml:space="preserve">à la coagulation </w:t>
      </w:r>
      <w:r w:rsidRPr="0067253E">
        <w:rPr>
          <w:rFonts w:asciiTheme="majorBidi" w:hAnsiTheme="majorBidi" w:cstheme="majorBidi"/>
        </w:rPr>
        <w:t xml:space="preserve">(ph 5) comprises </w:t>
      </w:r>
      <w:r>
        <w:rPr>
          <w:rFonts w:asciiTheme="majorBidi" w:hAnsiTheme="majorBidi" w:cstheme="majorBidi"/>
        </w:rPr>
        <w:t>entre 9.18 et</w:t>
      </w:r>
      <w:r w:rsidRPr="0067253E">
        <w:rPr>
          <w:rFonts w:asciiTheme="majorBidi" w:hAnsiTheme="majorBidi" w:cstheme="majorBidi"/>
        </w:rPr>
        <w:t xml:space="preserve"> 9.56 logUFC/ml </w:t>
      </w:r>
      <w:r>
        <w:rPr>
          <w:rFonts w:asciiTheme="majorBidi" w:hAnsiTheme="majorBidi" w:cstheme="majorBidi"/>
        </w:rPr>
        <w:t xml:space="preserve">et </w:t>
      </w:r>
      <w:r w:rsidRPr="0067253E">
        <w:rPr>
          <w:rFonts w:asciiTheme="majorBidi" w:hAnsiTheme="majorBidi" w:cstheme="majorBidi"/>
        </w:rPr>
        <w:t xml:space="preserve">qui sont inférieures à celles </w:t>
      </w:r>
      <w:r>
        <w:rPr>
          <w:rFonts w:asciiTheme="majorBidi" w:hAnsiTheme="majorBidi" w:cstheme="majorBidi"/>
        </w:rPr>
        <w:t>o</w:t>
      </w:r>
      <w:r w:rsidRPr="0067253E">
        <w:rPr>
          <w:rFonts w:asciiTheme="majorBidi" w:hAnsiTheme="majorBidi" w:cstheme="majorBidi"/>
        </w:rPr>
        <w:t>bservées en culture</w:t>
      </w:r>
      <w:r>
        <w:rPr>
          <w:rFonts w:asciiTheme="majorBidi" w:hAnsiTheme="majorBidi" w:cstheme="majorBidi"/>
        </w:rPr>
        <w:t xml:space="preserve"> </w:t>
      </w:r>
      <w:r w:rsidRPr="0067253E">
        <w:rPr>
          <w:rFonts w:asciiTheme="majorBidi" w:hAnsiTheme="majorBidi" w:cstheme="majorBidi"/>
        </w:rPr>
        <w:t xml:space="preserve">mixte entre les deux bactéries lactiques et une </w:t>
      </w:r>
    </w:p>
    <w:p w:rsidR="006C66E7" w:rsidRDefault="006F133D" w:rsidP="006C66E7">
      <w:pPr>
        <w:spacing w:before="0" w:after="0" w:line="360" w:lineRule="auto"/>
        <w:ind w:firstLine="360"/>
        <w:contextualSpacing/>
        <w:jc w:val="both"/>
        <w:rPr>
          <w:rFonts w:asciiTheme="majorBidi" w:hAnsiTheme="majorBidi" w:cstheme="majorBidi"/>
        </w:rPr>
      </w:pPr>
      <w:r>
        <w:rPr>
          <w:rFonts w:asciiTheme="majorBidi" w:hAnsiTheme="majorBidi" w:cstheme="majorBidi"/>
          <w:noProof/>
          <w:lang w:eastAsia="fr-FR"/>
        </w:rPr>
        <w:lastRenderedPageBreak/>
        <w:pict>
          <v:shapetype id="_x0000_t202" coordsize="21600,21600" o:spt="202" path="m,l,21600r21600,l21600,xe">
            <v:stroke joinstyle="miter"/>
            <v:path gradientshapeok="t" o:connecttype="rect"/>
          </v:shapetype>
          <v:shape id="_x0000_s2050" type="#_x0000_t202" style="position:absolute;left:0;text-align:left;margin-left:-7.65pt;margin-top:-4.7pt;width:445.5pt;height:688.5pt;z-index:251660288">
            <v:textbox style="mso-next-textbox:#_x0000_s2050">
              <w:txbxContent>
                <w:p w:rsidR="00310CA5" w:rsidRDefault="00310CA5" w:rsidP="006C66E7">
                  <w:pPr>
                    <w:ind w:firstLine="0"/>
                  </w:pPr>
                </w:p>
              </w:txbxContent>
            </v:textbox>
          </v:shape>
        </w:pict>
      </w:r>
    </w:p>
    <w:p w:rsidR="006C66E7" w:rsidRDefault="006F133D" w:rsidP="006C66E7">
      <w:pPr>
        <w:spacing w:before="0" w:after="0" w:line="360" w:lineRule="auto"/>
        <w:ind w:firstLine="0"/>
        <w:contextualSpacing/>
        <w:jc w:val="both"/>
        <w:rPr>
          <w:rFonts w:asciiTheme="majorBidi" w:hAnsiTheme="majorBidi" w:cstheme="majorBidi"/>
        </w:rPr>
      </w:pPr>
      <w:r>
        <w:rPr>
          <w:rFonts w:asciiTheme="majorBidi" w:hAnsiTheme="majorBidi" w:cstheme="majorBidi"/>
          <w:noProof/>
          <w:lang w:eastAsia="fr-FR"/>
        </w:rPr>
        <w:pict>
          <v:shape id="_x0000_s2057" type="#_x0000_t202" style="position:absolute;left:0;text-align:left;margin-left:-.15pt;margin-top:553.15pt;width:428.25pt;height:105pt;z-index:251667456" strokecolor="white [3212]">
            <v:textbox>
              <w:txbxContent>
                <w:p w:rsidR="00310CA5" w:rsidRPr="008A1C3E" w:rsidRDefault="00310CA5" w:rsidP="006C66E7">
                  <w:pPr>
                    <w:ind w:left="1134" w:hanging="992"/>
                    <w:jc w:val="both"/>
                    <w:rPr>
                      <w:rFonts w:ascii="Times New Roman" w:hAnsi="Times New Roman" w:cs="Times New Roman"/>
                      <w:sz w:val="20"/>
                      <w:szCs w:val="20"/>
                    </w:rPr>
                  </w:pPr>
                  <w:r>
                    <w:rPr>
                      <w:rFonts w:ascii="Times New Roman" w:hAnsi="Times New Roman" w:cs="Times New Roman"/>
                      <w:b/>
                      <w:bCs/>
                      <w:sz w:val="20"/>
                      <w:szCs w:val="20"/>
                      <w:u w:val="single"/>
                    </w:rPr>
                    <w:t>Figure 2</w:t>
                  </w:r>
                  <w:r w:rsidRPr="008A1C3E">
                    <w:rPr>
                      <w:rFonts w:ascii="Times New Roman" w:hAnsi="Times New Roman" w:cs="Times New Roman"/>
                      <w:sz w:val="20"/>
                      <w:szCs w:val="20"/>
                    </w:rPr>
                    <w:t xml:space="preserve"> : Cinétique de </w:t>
                  </w:r>
                  <w:r w:rsidRPr="00CC440C">
                    <w:rPr>
                      <w:rFonts w:ascii="Times New Roman" w:hAnsi="Times New Roman" w:cs="Times New Roman"/>
                      <w:b/>
                      <w:bCs/>
                      <w:sz w:val="20"/>
                      <w:szCs w:val="20"/>
                    </w:rPr>
                    <w:t>croissance</w:t>
                  </w:r>
                  <w:r w:rsidRPr="008A1C3E">
                    <w:rPr>
                      <w:rFonts w:ascii="Times New Roman" w:hAnsi="Times New Roman" w:cs="Times New Roman"/>
                      <w:sz w:val="20"/>
                      <w:szCs w:val="20"/>
                    </w:rPr>
                    <w:t xml:space="preserve"> des souches </w:t>
                  </w:r>
                  <w:r>
                    <w:rPr>
                      <w:rFonts w:ascii="Times New Roman" w:hAnsi="Times New Roman" w:cs="Times New Roman"/>
                      <w:sz w:val="20"/>
                      <w:szCs w:val="20"/>
                    </w:rPr>
                    <w:t>bénéf</w:t>
                  </w:r>
                  <w:r w:rsidRPr="008A1C3E">
                    <w:rPr>
                      <w:rFonts w:ascii="Times New Roman" w:hAnsi="Times New Roman" w:cs="Times New Roman"/>
                      <w:sz w:val="20"/>
                      <w:szCs w:val="20"/>
                    </w:rPr>
                    <w:t xml:space="preserve">iques </w:t>
                  </w:r>
                  <w:r w:rsidRPr="009568CE">
                    <w:rPr>
                      <w:rFonts w:ascii="Times New Roman" w:hAnsi="Times New Roman" w:cs="Times New Roman"/>
                      <w:b/>
                      <w:bCs/>
                      <w:sz w:val="20"/>
                      <w:szCs w:val="20"/>
                    </w:rPr>
                    <w:t>BLR</w:t>
                  </w:r>
                  <w:r w:rsidRPr="008A1C3E">
                    <w:rPr>
                      <w:rFonts w:ascii="Times New Roman" w:hAnsi="Times New Roman" w:cs="Times New Roman"/>
                      <w:sz w:val="20"/>
                      <w:szCs w:val="20"/>
                    </w:rPr>
                    <w:t> </w:t>
                  </w:r>
                  <w:r w:rsidRPr="008A1C3E">
                    <w:rPr>
                      <w:rFonts w:ascii="Times New Roman" w:hAnsi="Times New Roman" w:cs="Times New Roman"/>
                      <w:b/>
                      <w:bCs/>
                      <w:sz w:val="20"/>
                      <w:szCs w:val="20"/>
                    </w:rPr>
                    <w:t>(A)</w:t>
                  </w:r>
                  <w:r w:rsidRPr="008A1C3E">
                    <w:rPr>
                      <w:rFonts w:ascii="Times New Roman" w:hAnsi="Times New Roman" w:cs="Times New Roman"/>
                      <w:sz w:val="20"/>
                      <w:szCs w:val="20"/>
                    </w:rPr>
                    <w:t xml:space="preserve">; </w:t>
                  </w:r>
                  <w:r w:rsidRPr="009568CE">
                    <w:rPr>
                      <w:rFonts w:ascii="Times New Roman" w:hAnsi="Times New Roman" w:cs="Times New Roman"/>
                      <w:b/>
                      <w:bCs/>
                      <w:sz w:val="20"/>
                      <w:szCs w:val="20"/>
                    </w:rPr>
                    <w:t>LbRE-LSAS</w:t>
                  </w:r>
                  <w:r w:rsidRPr="008A1C3E">
                    <w:rPr>
                      <w:rFonts w:ascii="Times New Roman" w:hAnsi="Times New Roman" w:cs="Times New Roman"/>
                      <w:sz w:val="20"/>
                      <w:szCs w:val="20"/>
                    </w:rPr>
                    <w:t> </w:t>
                  </w:r>
                  <w:r w:rsidRPr="008A1C3E">
                    <w:rPr>
                      <w:rFonts w:ascii="Times New Roman" w:hAnsi="Times New Roman" w:cs="Times New Roman"/>
                      <w:b/>
                      <w:bCs/>
                      <w:sz w:val="20"/>
                      <w:szCs w:val="20"/>
                    </w:rPr>
                    <w:t>(B)</w:t>
                  </w:r>
                  <w:r w:rsidRPr="008A1C3E">
                    <w:rPr>
                      <w:rFonts w:ascii="Times New Roman" w:hAnsi="Times New Roman" w:cs="Times New Roman"/>
                      <w:sz w:val="20"/>
                      <w:szCs w:val="20"/>
                    </w:rPr>
                    <w:t xml:space="preserve">; </w:t>
                  </w:r>
                  <w:r w:rsidRPr="009568CE">
                    <w:rPr>
                      <w:rFonts w:ascii="Times New Roman" w:hAnsi="Times New Roman" w:cs="Times New Roman"/>
                      <w:b/>
                      <w:bCs/>
                      <w:sz w:val="20"/>
                      <w:szCs w:val="20"/>
                    </w:rPr>
                    <w:t>Bb12</w:t>
                  </w:r>
                  <w:r w:rsidRPr="008A1C3E">
                    <w:rPr>
                      <w:rFonts w:ascii="Times New Roman" w:hAnsi="Times New Roman" w:cs="Times New Roman"/>
                      <w:sz w:val="20"/>
                      <w:szCs w:val="20"/>
                    </w:rPr>
                    <w:t> </w:t>
                  </w:r>
                  <w:r w:rsidRPr="008A1C3E">
                    <w:rPr>
                      <w:rFonts w:ascii="Times New Roman" w:hAnsi="Times New Roman" w:cs="Times New Roman"/>
                      <w:b/>
                      <w:bCs/>
                      <w:sz w:val="20"/>
                      <w:szCs w:val="20"/>
                    </w:rPr>
                    <w:t>(C)</w:t>
                  </w:r>
                  <w:r w:rsidRPr="008A1C3E">
                    <w:rPr>
                      <w:rFonts w:ascii="Times New Roman" w:hAnsi="Times New Roman" w:cs="Times New Roman"/>
                      <w:sz w:val="20"/>
                      <w:szCs w:val="20"/>
                    </w:rPr>
                    <w:t xml:space="preserve">; </w:t>
                  </w:r>
                  <w:r w:rsidRPr="009568CE">
                    <w:rPr>
                      <w:rFonts w:ascii="Times New Roman" w:hAnsi="Times New Roman" w:cs="Times New Roman"/>
                      <w:b/>
                      <w:bCs/>
                      <w:sz w:val="20"/>
                      <w:szCs w:val="20"/>
                    </w:rPr>
                    <w:t>Lba</w:t>
                  </w:r>
                  <w:r>
                    <w:rPr>
                      <w:rFonts w:ascii="Times New Roman" w:hAnsi="Times New Roman" w:cs="Times New Roman"/>
                      <w:b/>
                      <w:bCs/>
                      <w:sz w:val="20"/>
                      <w:szCs w:val="20"/>
                    </w:rPr>
                    <w:t xml:space="preserve"> </w:t>
                  </w:r>
                  <w:r w:rsidRPr="009568CE">
                    <w:rPr>
                      <w:rFonts w:ascii="Times New Roman" w:hAnsi="Times New Roman" w:cs="Times New Roman"/>
                      <w:b/>
                      <w:bCs/>
                      <w:sz w:val="20"/>
                      <w:szCs w:val="20"/>
                    </w:rPr>
                    <w:t>CECT4529</w:t>
                  </w:r>
                  <w:r w:rsidRPr="008A1C3E">
                    <w:rPr>
                      <w:rFonts w:ascii="Times New Roman" w:hAnsi="Times New Roman" w:cs="Times New Roman"/>
                      <w:sz w:val="20"/>
                      <w:szCs w:val="20"/>
                    </w:rPr>
                    <w:t xml:space="preserve"> </w:t>
                  </w:r>
                  <w:r w:rsidRPr="008A1C3E">
                    <w:rPr>
                      <w:rFonts w:ascii="Times New Roman" w:hAnsi="Times New Roman" w:cs="Times New Roman"/>
                      <w:b/>
                      <w:bCs/>
                      <w:sz w:val="20"/>
                      <w:szCs w:val="20"/>
                    </w:rPr>
                    <w:t>(D)</w:t>
                  </w:r>
                  <w:r w:rsidRPr="008A1C3E">
                    <w:rPr>
                      <w:rFonts w:ascii="Times New Roman" w:hAnsi="Times New Roman" w:cs="Times New Roman"/>
                      <w:sz w:val="20"/>
                      <w:szCs w:val="20"/>
                    </w:rPr>
                    <w:t xml:space="preserve"> </w:t>
                  </w:r>
                  <w:r>
                    <w:rPr>
                      <w:rFonts w:ascii="Times New Roman" w:hAnsi="Times New Roman" w:cs="Times New Roman"/>
                      <w:sz w:val="20"/>
                      <w:szCs w:val="20"/>
                    </w:rPr>
                    <w:t>ou</w:t>
                  </w:r>
                  <w:r w:rsidRPr="008A1C3E">
                    <w:rPr>
                      <w:rFonts w:ascii="Times New Roman" w:hAnsi="Times New Roman" w:cs="Times New Roman"/>
                      <w:sz w:val="20"/>
                      <w:szCs w:val="20"/>
                    </w:rPr>
                    <w:t xml:space="preserve"> </w:t>
                  </w:r>
                  <w:r w:rsidRPr="009568CE">
                    <w:rPr>
                      <w:rFonts w:ascii="Times New Roman" w:hAnsi="Times New Roman" w:cs="Times New Roman"/>
                      <w:b/>
                      <w:bCs/>
                      <w:sz w:val="20"/>
                      <w:szCs w:val="20"/>
                    </w:rPr>
                    <w:t>Lbp</w:t>
                  </w:r>
                  <w:r>
                    <w:rPr>
                      <w:rFonts w:ascii="Times New Roman" w:hAnsi="Times New Roman" w:cs="Times New Roman"/>
                      <w:b/>
                      <w:bCs/>
                      <w:sz w:val="20"/>
                      <w:szCs w:val="20"/>
                    </w:rPr>
                    <w:t xml:space="preserve"> </w:t>
                  </w:r>
                  <w:r w:rsidRPr="009568CE">
                    <w:rPr>
                      <w:rFonts w:ascii="Times New Roman" w:hAnsi="Times New Roman" w:cs="Times New Roman"/>
                      <w:b/>
                      <w:bCs/>
                      <w:sz w:val="20"/>
                      <w:szCs w:val="20"/>
                    </w:rPr>
                    <w:t>CECT</w:t>
                  </w:r>
                  <w:r w:rsidRPr="008A1C3E">
                    <w:rPr>
                      <w:rFonts w:ascii="Times New Roman" w:hAnsi="Times New Roman" w:cs="Times New Roman"/>
                      <w:sz w:val="20"/>
                      <w:szCs w:val="20"/>
                    </w:rPr>
                    <w:t xml:space="preserve"> 748 </w:t>
                  </w:r>
                  <w:r w:rsidRPr="008A1C3E">
                    <w:rPr>
                      <w:rFonts w:ascii="Times New Roman" w:hAnsi="Times New Roman" w:cs="Times New Roman"/>
                      <w:b/>
                      <w:bCs/>
                      <w:sz w:val="20"/>
                      <w:szCs w:val="20"/>
                    </w:rPr>
                    <w:t>(E)</w:t>
                  </w:r>
                  <w:r w:rsidRPr="008A1C3E">
                    <w:rPr>
                      <w:rFonts w:ascii="Times New Roman" w:hAnsi="Times New Roman" w:cs="Times New Roman"/>
                      <w:sz w:val="20"/>
                      <w:szCs w:val="20"/>
                    </w:rPr>
                    <w:t xml:space="preserve"> </w:t>
                  </w:r>
                  <w:r>
                    <w:rPr>
                      <w:rFonts w:ascii="Times New Roman" w:hAnsi="Times New Roman" w:cs="Times New Roman"/>
                      <w:sz w:val="20"/>
                      <w:szCs w:val="20"/>
                    </w:rPr>
                    <w:t>en</w:t>
                  </w:r>
                  <w:r w:rsidRPr="008A1C3E">
                    <w:rPr>
                      <w:rFonts w:ascii="Times New Roman" w:hAnsi="Times New Roman" w:cs="Times New Roman"/>
                      <w:sz w:val="20"/>
                      <w:szCs w:val="20"/>
                    </w:rPr>
                    <w:t xml:space="preserve"> culture mixte</w:t>
                  </w:r>
                  <w:r>
                    <w:rPr>
                      <w:rFonts w:ascii="Times New Roman" w:hAnsi="Times New Roman" w:cs="Times New Roman"/>
                      <w:sz w:val="20"/>
                      <w:szCs w:val="20"/>
                    </w:rPr>
                    <w:t xml:space="preserve"> avec</w:t>
                  </w:r>
                  <w:r w:rsidRPr="008A1C3E">
                    <w:rPr>
                      <w:rFonts w:ascii="Times New Roman" w:hAnsi="Times New Roman" w:cs="Times New Roman"/>
                      <w:sz w:val="20"/>
                      <w:szCs w:val="20"/>
                    </w:rPr>
                    <w:t xml:space="preserve"> </w:t>
                  </w:r>
                  <w:r>
                    <w:rPr>
                      <w:rFonts w:ascii="Times New Roman" w:hAnsi="Times New Roman" w:cs="Times New Roman"/>
                      <w:sz w:val="20"/>
                      <w:szCs w:val="20"/>
                    </w:rPr>
                    <w:t>une</w:t>
                  </w:r>
                  <w:r w:rsidRPr="008A1C3E">
                    <w:rPr>
                      <w:rFonts w:ascii="Times New Roman" w:hAnsi="Times New Roman" w:cs="Times New Roman"/>
                      <w:sz w:val="20"/>
                      <w:szCs w:val="20"/>
                    </w:rPr>
                    <w:t xml:space="preserve"> souche lactique </w:t>
                  </w:r>
                  <w:r w:rsidRPr="008A1C3E">
                    <w:rPr>
                      <w:rFonts w:ascii="Times New Roman" w:hAnsi="Times New Roman" w:cs="Times New Roman"/>
                      <w:i/>
                      <w:iCs/>
                      <w:sz w:val="20"/>
                      <w:szCs w:val="20"/>
                    </w:rPr>
                    <w:t>Streptococcus thermophilus</w:t>
                  </w:r>
                  <w:r w:rsidRPr="008A1C3E">
                    <w:rPr>
                      <w:rFonts w:ascii="Times New Roman" w:hAnsi="Times New Roman" w:cs="Times New Roman"/>
                      <w:sz w:val="20"/>
                      <w:szCs w:val="20"/>
                    </w:rPr>
                    <w:t xml:space="preserve"> STB01 à 37°C sur milieu lait. </w:t>
                  </w:r>
                  <w:r w:rsidRPr="003468B2">
                    <w:rPr>
                      <w:rFonts w:ascii="Times New Roman" w:hAnsi="Times New Roman" w:cs="Times New Roman"/>
                      <w:sz w:val="20"/>
                      <w:szCs w:val="20"/>
                    </w:rPr>
                    <w:t>Cultures mixtes témoin (</w:t>
                  </w:r>
                  <w:r w:rsidRPr="00C44983">
                    <w:rPr>
                      <w:rFonts w:ascii="Times New Roman" w:hAnsi="Times New Roman" w:cs="Times New Roman"/>
                      <w:noProof/>
                      <w:color w:val="0070C0"/>
                      <w:sz w:val="20"/>
                      <w:szCs w:val="20"/>
                      <w:lang w:eastAsia="fr-FR"/>
                    </w:rPr>
                    <w:t>■</w:t>
                  </w:r>
                  <w:r w:rsidRPr="003468B2">
                    <w:rPr>
                      <w:rFonts w:ascii="Times New Roman" w:hAnsi="Times New Roman" w:cs="Times New Roman"/>
                      <w:sz w:val="20"/>
                      <w:szCs w:val="20"/>
                    </w:rPr>
                    <w:t xml:space="preserve">), cultures mixtes additionnées de 0,53% </w:t>
                  </w:r>
                  <w:r>
                    <w:rPr>
                      <w:rFonts w:ascii="Times New Roman" w:hAnsi="Times New Roman" w:cs="Times New Roman"/>
                      <w:sz w:val="20"/>
                      <w:szCs w:val="20"/>
                    </w:rPr>
                    <w:t xml:space="preserve">(P/V) : </w:t>
                  </w:r>
                  <w:r w:rsidRPr="003468B2">
                    <w:rPr>
                      <w:rFonts w:ascii="Times New Roman" w:hAnsi="Times New Roman" w:cs="Times New Roman"/>
                      <w:sz w:val="20"/>
                      <w:szCs w:val="20"/>
                    </w:rPr>
                    <w:t>de lactosérum doux (</w:t>
                  </w:r>
                  <w:r w:rsidRPr="007A6C8B">
                    <w:rPr>
                      <w:rFonts w:ascii="Times New Roman" w:hAnsi="Times New Roman" w:cs="Times New Roman"/>
                      <w:color w:val="FF9900"/>
                      <w:sz w:val="20"/>
                      <w:szCs w:val="20"/>
                    </w:rPr>
                    <w:t>■</w:t>
                  </w:r>
                  <w:r w:rsidRPr="003468B2">
                    <w:rPr>
                      <w:rFonts w:ascii="Times New Roman" w:hAnsi="Times New Roman" w:cs="Times New Roman"/>
                      <w:sz w:val="20"/>
                      <w:szCs w:val="20"/>
                    </w:rPr>
                    <w:t>), de Promilk 852A2 (</w:t>
                  </w:r>
                  <w:r w:rsidRPr="00C44983">
                    <w:rPr>
                      <w:rFonts w:ascii="Times New Roman" w:hAnsi="Times New Roman" w:cs="Times New Roman"/>
                      <w:color w:val="92D050"/>
                      <w:sz w:val="20"/>
                      <w:szCs w:val="20"/>
                    </w:rPr>
                    <w:t>■</w:t>
                  </w:r>
                  <w:r w:rsidRPr="003468B2">
                    <w:rPr>
                      <w:rFonts w:ascii="Times New Roman" w:hAnsi="Times New Roman" w:cs="Times New Roman"/>
                      <w:sz w:val="20"/>
                      <w:szCs w:val="20"/>
                    </w:rPr>
                    <w:t>),</w:t>
                  </w:r>
                  <w:r>
                    <w:rPr>
                      <w:rFonts w:ascii="Times New Roman" w:hAnsi="Times New Roman" w:cs="Times New Roman"/>
                      <w:sz w:val="20"/>
                      <w:szCs w:val="20"/>
                    </w:rPr>
                    <w:t xml:space="preserve"> </w:t>
                  </w:r>
                  <w:r w:rsidRPr="003468B2">
                    <w:rPr>
                      <w:rFonts w:ascii="Times New Roman" w:hAnsi="Times New Roman" w:cs="Times New Roman"/>
                      <w:sz w:val="20"/>
                      <w:szCs w:val="20"/>
                    </w:rPr>
                    <w:t>de Promilk C502 (</w:t>
                  </w:r>
                  <w:r w:rsidRPr="00C44983">
                    <w:rPr>
                      <w:rFonts w:ascii="Times New Roman" w:hAnsi="Times New Roman" w:cs="Times New Roman"/>
                      <w:color w:val="FF33CC"/>
                      <w:sz w:val="20"/>
                      <w:szCs w:val="20"/>
                    </w:rPr>
                    <w:t>■</w:t>
                  </w:r>
                  <w:r w:rsidRPr="003468B2">
                    <w:rPr>
                      <w:rFonts w:ascii="Times New Roman" w:hAnsi="Times New Roman" w:cs="Times New Roman"/>
                      <w:sz w:val="20"/>
                      <w:szCs w:val="20"/>
                    </w:rPr>
                    <w:t>)</w:t>
                  </w:r>
                  <w:r>
                    <w:rPr>
                      <w:rFonts w:ascii="Times New Roman" w:hAnsi="Times New Roman" w:cs="Times New Roman"/>
                      <w:sz w:val="20"/>
                      <w:szCs w:val="20"/>
                    </w:rPr>
                    <w:t xml:space="preserve"> ou </w:t>
                  </w:r>
                  <w:r w:rsidRPr="003468B2">
                    <w:rPr>
                      <w:rFonts w:ascii="Times New Roman" w:hAnsi="Times New Roman" w:cs="Times New Roman"/>
                      <w:sz w:val="20"/>
                      <w:szCs w:val="20"/>
                    </w:rPr>
                    <w:t>d’hydrolysat de caséine (</w:t>
                  </w:r>
                  <w:r w:rsidRPr="00C44983">
                    <w:rPr>
                      <w:rFonts w:ascii="Times New Roman" w:hAnsi="Times New Roman" w:cs="Times New Roman"/>
                      <w:color w:val="990099"/>
                      <w:sz w:val="20"/>
                      <w:szCs w:val="20"/>
                    </w:rPr>
                    <w:t>■</w:t>
                  </w:r>
                  <w:r>
                    <w:rPr>
                      <w:rFonts w:ascii="Times New Roman" w:hAnsi="Times New Roman" w:cs="Times New Roman"/>
                      <w:sz w:val="20"/>
                      <w:szCs w:val="20"/>
                    </w:rPr>
                    <w:t>)</w:t>
                  </w:r>
                  <w:r w:rsidRPr="008A1C3E">
                    <w:rPr>
                      <w:rFonts w:ascii="Times New Roman" w:hAnsi="Times New Roman" w:cs="Times New Roman"/>
                      <w:sz w:val="20"/>
                      <w:szCs w:val="20"/>
                    </w:rPr>
                    <w:t>. Dans toutes les cultures mixtes, l’inoculum est à une concentration finale de 10</w:t>
                  </w:r>
                  <w:r w:rsidRPr="008A1C3E">
                    <w:rPr>
                      <w:rFonts w:ascii="Times New Roman" w:hAnsi="Times New Roman" w:cs="Times New Roman"/>
                      <w:sz w:val="20"/>
                      <w:szCs w:val="20"/>
                      <w:vertAlign w:val="superscript"/>
                    </w:rPr>
                    <w:t>7</w:t>
                  </w:r>
                  <w:r w:rsidRPr="008A1C3E">
                    <w:rPr>
                      <w:rFonts w:ascii="Times New Roman" w:hAnsi="Times New Roman" w:cs="Times New Roman"/>
                      <w:sz w:val="20"/>
                      <w:szCs w:val="20"/>
                    </w:rPr>
                    <w:t xml:space="preserve"> UFC/ml et utilisé à 1% (1 :1). Les valeurs représentent la moyenne (m) de 9 déterminations ±S</w:t>
                  </w:r>
                  <w:r>
                    <w:rPr>
                      <w:rFonts w:ascii="Times New Roman" w:hAnsi="Times New Roman" w:cs="Times New Roman"/>
                      <w:sz w:val="20"/>
                      <w:szCs w:val="20"/>
                    </w:rPr>
                    <w:t>EM</w:t>
                  </w:r>
                  <w:r w:rsidRPr="008A1C3E">
                    <w:rPr>
                      <w:rFonts w:ascii="Times New Roman" w:hAnsi="Times New Roman" w:cs="Times New Roman"/>
                      <w:sz w:val="20"/>
                      <w:szCs w:val="20"/>
                    </w:rPr>
                    <w:t xml:space="preserve"> (n</w:t>
                  </w:r>
                  <w:r>
                    <w:rPr>
                      <w:rFonts w:ascii="Times New Roman" w:hAnsi="Times New Roman" w:cs="Times New Roman"/>
                      <w:sz w:val="20"/>
                      <w:szCs w:val="20"/>
                    </w:rPr>
                    <w:t xml:space="preserve"> </w:t>
                  </w:r>
                  <w:r w:rsidRPr="008A1C3E">
                    <w:rPr>
                      <w:rFonts w:ascii="Times New Roman" w:hAnsi="Times New Roman" w:cs="Times New Roman"/>
                      <w:sz w:val="20"/>
                      <w:szCs w:val="20"/>
                    </w:rPr>
                    <w:t>=</w:t>
                  </w:r>
                  <w:r>
                    <w:rPr>
                      <w:rFonts w:ascii="Times New Roman" w:hAnsi="Times New Roman" w:cs="Times New Roman"/>
                      <w:sz w:val="20"/>
                      <w:szCs w:val="20"/>
                    </w:rPr>
                    <w:t xml:space="preserve"> </w:t>
                  </w:r>
                  <w:r w:rsidRPr="008A1C3E">
                    <w:rPr>
                      <w:rFonts w:ascii="Times New Roman" w:hAnsi="Times New Roman" w:cs="Times New Roman"/>
                      <w:sz w:val="20"/>
                      <w:szCs w:val="20"/>
                    </w:rPr>
                    <w:t>9). T0</w:t>
                  </w:r>
                  <w:r>
                    <w:rPr>
                      <w:rFonts w:ascii="Times New Roman" w:hAnsi="Times New Roman" w:cs="Times New Roman"/>
                      <w:sz w:val="20"/>
                      <w:szCs w:val="20"/>
                    </w:rPr>
                    <w:t xml:space="preserve"> </w:t>
                  </w:r>
                  <w:r w:rsidRPr="008A1C3E">
                    <w:rPr>
                      <w:rFonts w:ascii="Times New Roman" w:hAnsi="Times New Roman" w:cs="Times New Roman"/>
                      <w:sz w:val="20"/>
                      <w:szCs w:val="20"/>
                    </w:rPr>
                    <w:t>=</w:t>
                  </w:r>
                  <w:r>
                    <w:rPr>
                      <w:rFonts w:ascii="Times New Roman" w:hAnsi="Times New Roman" w:cs="Times New Roman"/>
                      <w:sz w:val="20"/>
                      <w:szCs w:val="20"/>
                    </w:rPr>
                    <w:t xml:space="preserve"> </w:t>
                  </w:r>
                  <w:r w:rsidRPr="008A1C3E">
                    <w:rPr>
                      <w:rFonts w:ascii="Times New Roman" w:hAnsi="Times New Roman" w:cs="Times New Roman"/>
                      <w:sz w:val="20"/>
                      <w:szCs w:val="20"/>
                    </w:rPr>
                    <w:t xml:space="preserve"> 0h ; T1</w:t>
                  </w:r>
                  <w:r>
                    <w:rPr>
                      <w:rFonts w:ascii="Times New Roman" w:hAnsi="Times New Roman" w:cs="Times New Roman"/>
                      <w:sz w:val="20"/>
                      <w:szCs w:val="20"/>
                    </w:rPr>
                    <w:t xml:space="preserve"> </w:t>
                  </w:r>
                  <w:r w:rsidRPr="008A1C3E">
                    <w:rPr>
                      <w:rFonts w:ascii="Times New Roman" w:hAnsi="Times New Roman" w:cs="Times New Roman"/>
                      <w:sz w:val="20"/>
                      <w:szCs w:val="20"/>
                    </w:rPr>
                    <w:t>=</w:t>
                  </w:r>
                  <w:r>
                    <w:rPr>
                      <w:rFonts w:ascii="Times New Roman" w:hAnsi="Times New Roman" w:cs="Times New Roman"/>
                      <w:sz w:val="20"/>
                      <w:szCs w:val="20"/>
                    </w:rPr>
                    <w:t xml:space="preserve"> </w:t>
                  </w:r>
                  <w:r w:rsidRPr="008A1C3E">
                    <w:rPr>
                      <w:rFonts w:ascii="Times New Roman" w:hAnsi="Times New Roman" w:cs="Times New Roman"/>
                      <w:sz w:val="20"/>
                      <w:szCs w:val="20"/>
                    </w:rPr>
                    <w:t>2h ; T2</w:t>
                  </w:r>
                  <w:r>
                    <w:rPr>
                      <w:rFonts w:ascii="Times New Roman" w:hAnsi="Times New Roman" w:cs="Times New Roman"/>
                      <w:sz w:val="20"/>
                      <w:szCs w:val="20"/>
                    </w:rPr>
                    <w:t xml:space="preserve"> </w:t>
                  </w:r>
                  <w:r w:rsidRPr="008A1C3E">
                    <w:rPr>
                      <w:rFonts w:ascii="Times New Roman" w:hAnsi="Times New Roman" w:cs="Times New Roman"/>
                      <w:sz w:val="20"/>
                      <w:szCs w:val="20"/>
                    </w:rPr>
                    <w:t>=</w:t>
                  </w:r>
                  <w:r>
                    <w:rPr>
                      <w:rFonts w:ascii="Times New Roman" w:hAnsi="Times New Roman" w:cs="Times New Roman"/>
                      <w:sz w:val="20"/>
                      <w:szCs w:val="20"/>
                    </w:rPr>
                    <w:t xml:space="preserve"> </w:t>
                  </w:r>
                  <w:r w:rsidRPr="008A1C3E">
                    <w:rPr>
                      <w:rFonts w:ascii="Times New Roman" w:hAnsi="Times New Roman" w:cs="Times New Roman"/>
                      <w:sz w:val="20"/>
                      <w:szCs w:val="20"/>
                    </w:rPr>
                    <w:t>4h, T3</w:t>
                  </w:r>
                  <w:r>
                    <w:rPr>
                      <w:rFonts w:ascii="Times New Roman" w:hAnsi="Times New Roman" w:cs="Times New Roman"/>
                      <w:sz w:val="20"/>
                      <w:szCs w:val="20"/>
                    </w:rPr>
                    <w:t xml:space="preserve"> </w:t>
                  </w:r>
                  <w:r w:rsidRPr="008A1C3E">
                    <w:rPr>
                      <w:rFonts w:ascii="Times New Roman" w:hAnsi="Times New Roman" w:cs="Times New Roman"/>
                      <w:sz w:val="20"/>
                      <w:szCs w:val="20"/>
                    </w:rPr>
                    <w:t>=</w:t>
                  </w:r>
                  <w:r>
                    <w:rPr>
                      <w:rFonts w:ascii="Times New Roman" w:hAnsi="Times New Roman" w:cs="Times New Roman"/>
                      <w:sz w:val="20"/>
                      <w:szCs w:val="20"/>
                    </w:rPr>
                    <w:t xml:space="preserve"> temps</w:t>
                  </w:r>
                  <w:r w:rsidRPr="008A1C3E">
                    <w:rPr>
                      <w:rFonts w:ascii="Times New Roman" w:hAnsi="Times New Roman" w:cs="Times New Roman"/>
                      <w:sz w:val="20"/>
                      <w:szCs w:val="20"/>
                    </w:rPr>
                    <w:t xml:space="preserve"> de coagulation (pH</w:t>
                  </w:r>
                  <w:r>
                    <w:rPr>
                      <w:rFonts w:ascii="Times New Roman" w:hAnsi="Times New Roman" w:cs="Times New Roman"/>
                      <w:sz w:val="20"/>
                      <w:szCs w:val="20"/>
                    </w:rPr>
                    <w:t xml:space="preserve"> </w:t>
                  </w:r>
                  <w:r w:rsidRPr="008A1C3E">
                    <w:rPr>
                      <w:rFonts w:ascii="Times New Roman" w:hAnsi="Times New Roman" w:cs="Times New Roman"/>
                      <w:sz w:val="20"/>
                      <w:szCs w:val="20"/>
                    </w:rPr>
                    <w:t>5).</w:t>
                  </w:r>
                </w:p>
                <w:p w:rsidR="00310CA5" w:rsidRDefault="00310CA5" w:rsidP="006C66E7"/>
              </w:txbxContent>
            </v:textbox>
          </v:shape>
        </w:pict>
      </w:r>
      <w:r>
        <w:rPr>
          <w:rFonts w:asciiTheme="majorBidi" w:hAnsiTheme="majorBidi" w:cstheme="majorBidi"/>
          <w:noProof/>
          <w:lang w:eastAsia="fr-FR"/>
        </w:rPr>
        <w:pict>
          <v:shape id="_x0000_s2054" type="#_x0000_t202" style="position:absolute;left:0;text-align:left;margin-left:123.6pt;margin-top:184.6pt;width:3in;height:189.75pt;z-index:251664384" strokecolor="white [3212]">
            <v:textbox>
              <w:txbxContent>
                <w:p w:rsidR="00310CA5" w:rsidRDefault="00310CA5" w:rsidP="006C66E7">
                  <w:pPr>
                    <w:ind w:firstLine="0"/>
                  </w:pPr>
                  <w:r w:rsidRPr="003520F9">
                    <w:rPr>
                      <w:noProof/>
                      <w:lang w:eastAsia="fr-FR"/>
                    </w:rPr>
                    <w:drawing>
                      <wp:inline distT="0" distB="0" distL="0" distR="0">
                        <wp:extent cx="2303145" cy="2124075"/>
                        <wp:effectExtent l="57150" t="19050" r="20955" b="0"/>
                        <wp:docPr id="47" name="Graphique 4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txbxContent>
            </v:textbox>
          </v:shape>
        </w:pict>
      </w:r>
      <w:r>
        <w:rPr>
          <w:rFonts w:asciiTheme="majorBidi" w:hAnsiTheme="majorBidi" w:cstheme="majorBidi"/>
          <w:noProof/>
          <w:lang w:eastAsia="fr-FR"/>
        </w:rPr>
        <w:pict>
          <v:shape id="_x0000_s2056" type="#_x0000_t202" style="position:absolute;left:0;text-align:left;margin-left:227.1pt;margin-top:364.6pt;width:201pt;height:193.5pt;z-index:251666432" strokecolor="white [3212]">
            <v:textbox>
              <w:txbxContent>
                <w:p w:rsidR="00310CA5" w:rsidRPr="003520F9" w:rsidRDefault="00310CA5" w:rsidP="006C66E7">
                  <w:pPr>
                    <w:ind w:firstLine="0"/>
                  </w:pPr>
                  <w:r w:rsidRPr="003520F9">
                    <w:rPr>
                      <w:noProof/>
                      <w:lang w:eastAsia="fr-FR"/>
                    </w:rPr>
                    <w:drawing>
                      <wp:inline distT="0" distB="0" distL="0" distR="0">
                        <wp:extent cx="2360295" cy="2171700"/>
                        <wp:effectExtent l="57150" t="19050" r="20955" b="0"/>
                        <wp:docPr id="49" name="Graphique 4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xbxContent>
            </v:textbox>
          </v:shape>
        </w:pict>
      </w:r>
      <w:r>
        <w:rPr>
          <w:rFonts w:asciiTheme="majorBidi" w:hAnsiTheme="majorBidi" w:cstheme="majorBidi"/>
          <w:noProof/>
          <w:lang w:eastAsia="fr-FR"/>
        </w:rPr>
        <w:pict>
          <v:shape id="_x0000_s2055" type="#_x0000_t202" style="position:absolute;left:0;text-align:left;margin-left:-.15pt;margin-top:364.6pt;width:213pt;height:184.5pt;z-index:251665408" strokecolor="white [3212]">
            <v:textbox>
              <w:txbxContent>
                <w:p w:rsidR="00310CA5" w:rsidRDefault="00310CA5" w:rsidP="006C66E7">
                  <w:pPr>
                    <w:ind w:firstLine="0"/>
                  </w:pPr>
                  <w:r w:rsidRPr="003520F9">
                    <w:rPr>
                      <w:noProof/>
                      <w:lang w:eastAsia="fr-FR"/>
                    </w:rPr>
                    <w:drawing>
                      <wp:inline distT="0" distB="0" distL="0" distR="0">
                        <wp:extent cx="2571750" cy="2171700"/>
                        <wp:effectExtent l="57150" t="19050" r="19050" b="0"/>
                        <wp:docPr id="48" name="Graphique 4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xbxContent>
            </v:textbox>
          </v:shape>
        </w:pict>
      </w:r>
      <w:r>
        <w:rPr>
          <w:rFonts w:asciiTheme="majorBidi" w:hAnsiTheme="majorBidi" w:cstheme="majorBidi"/>
          <w:noProof/>
          <w:lang w:eastAsia="fr-FR"/>
        </w:rPr>
        <w:pict>
          <v:shape id="_x0000_s2052" type="#_x0000_t202" style="position:absolute;left:0;text-align:left;margin-left:-.15pt;margin-top:9.1pt;width:208.5pt;height:171.75pt;z-index:251662336" strokecolor="white [3212]">
            <v:textbox style="mso-next-textbox:#_x0000_s2052">
              <w:txbxContent>
                <w:p w:rsidR="00310CA5" w:rsidRDefault="00310CA5" w:rsidP="006C66E7">
                  <w:pPr>
                    <w:ind w:firstLine="0"/>
                  </w:pPr>
                  <w:r w:rsidRPr="003520F9">
                    <w:rPr>
                      <w:noProof/>
                      <w:lang w:eastAsia="fr-FR"/>
                    </w:rPr>
                    <w:drawing>
                      <wp:inline distT="0" distB="0" distL="0" distR="0">
                        <wp:extent cx="2455545" cy="2000250"/>
                        <wp:effectExtent l="57150" t="19050" r="20955" b="0"/>
                        <wp:docPr id="45" name="Graphique 4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xbxContent>
            </v:textbox>
          </v:shape>
        </w:pict>
      </w:r>
      <w:r>
        <w:rPr>
          <w:rFonts w:asciiTheme="majorBidi" w:hAnsiTheme="majorBidi" w:cstheme="majorBidi"/>
          <w:noProof/>
          <w:lang w:eastAsia="fr-FR"/>
        </w:rPr>
        <w:pict>
          <v:shape id="_x0000_s2053" type="#_x0000_t202" style="position:absolute;left:0;text-align:left;margin-left:230.85pt;margin-top:9.1pt;width:195.75pt;height:175.5pt;z-index:251663360" strokecolor="white [3212]">
            <v:textbox style="mso-next-textbox:#_x0000_s2053">
              <w:txbxContent>
                <w:p w:rsidR="00310CA5" w:rsidRPr="003520F9" w:rsidRDefault="00310CA5" w:rsidP="006C66E7">
                  <w:pPr>
                    <w:ind w:firstLine="0"/>
                  </w:pPr>
                  <w:r w:rsidRPr="003520F9">
                    <w:rPr>
                      <w:noProof/>
                      <w:lang w:eastAsia="fr-FR"/>
                    </w:rPr>
                    <w:drawing>
                      <wp:inline distT="0" distB="0" distL="0" distR="0">
                        <wp:extent cx="2293620" cy="2000250"/>
                        <wp:effectExtent l="57150" t="19050" r="11430" b="0"/>
                        <wp:docPr id="46" name="Graphique 4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xbxContent>
            </v:textbox>
          </v:shape>
        </w:pict>
      </w:r>
      <w:r w:rsidR="006C66E7">
        <w:rPr>
          <w:rFonts w:asciiTheme="majorBidi" w:hAnsiTheme="majorBidi" w:cstheme="majorBidi"/>
        </w:rPr>
        <w:br w:type="page"/>
      </w:r>
    </w:p>
    <w:p w:rsidR="006C66E7" w:rsidRDefault="006F133D" w:rsidP="006C66E7">
      <w:pPr>
        <w:spacing w:before="0" w:after="0" w:line="276" w:lineRule="auto"/>
        <w:ind w:firstLine="0"/>
        <w:rPr>
          <w:rFonts w:asciiTheme="majorBidi" w:hAnsiTheme="majorBidi" w:cstheme="majorBidi"/>
        </w:rPr>
      </w:pPr>
      <w:r>
        <w:rPr>
          <w:rFonts w:asciiTheme="majorBidi" w:hAnsiTheme="majorBidi" w:cstheme="majorBidi"/>
          <w:noProof/>
          <w:lang w:eastAsia="fr-FR"/>
        </w:rPr>
        <w:lastRenderedPageBreak/>
        <w:pict>
          <v:shape id="_x0000_s2063" type="#_x0000_t202" style="position:absolute;margin-left:5.85pt;margin-top:556.6pt;width:424.5pt;height:114pt;z-index:251673600" strokecolor="white [3212]">
            <v:textbox style="mso-next-textbox:#_x0000_s2063">
              <w:txbxContent>
                <w:p w:rsidR="00310CA5" w:rsidRPr="003468B2" w:rsidRDefault="00310CA5" w:rsidP="006C66E7">
                  <w:pPr>
                    <w:ind w:left="1134" w:hanging="992"/>
                    <w:jc w:val="both"/>
                    <w:rPr>
                      <w:rFonts w:ascii="Times New Roman" w:hAnsi="Times New Roman" w:cs="Times New Roman"/>
                      <w:sz w:val="20"/>
                      <w:szCs w:val="20"/>
                    </w:rPr>
                  </w:pPr>
                  <w:r w:rsidRPr="00CC440C">
                    <w:rPr>
                      <w:rFonts w:ascii="Times New Roman" w:hAnsi="Times New Roman" w:cs="Times New Roman"/>
                      <w:b/>
                      <w:bCs/>
                      <w:sz w:val="20"/>
                      <w:szCs w:val="20"/>
                      <w:u w:val="single"/>
                    </w:rPr>
                    <w:t>Figure 3</w:t>
                  </w:r>
                  <w:r w:rsidRPr="003468B2">
                    <w:rPr>
                      <w:rFonts w:ascii="Times New Roman" w:hAnsi="Times New Roman" w:cs="Times New Roman"/>
                      <w:sz w:val="20"/>
                      <w:szCs w:val="20"/>
                    </w:rPr>
                    <w:t xml:space="preserve"> : Cinétique de </w:t>
                  </w:r>
                  <w:r w:rsidRPr="0053171C">
                    <w:rPr>
                      <w:rFonts w:ascii="Times New Roman" w:hAnsi="Times New Roman" w:cs="Times New Roman"/>
                      <w:b/>
                      <w:bCs/>
                      <w:sz w:val="20"/>
                      <w:szCs w:val="20"/>
                    </w:rPr>
                    <w:t>croissance</w:t>
                  </w:r>
                  <w:r w:rsidRPr="003468B2">
                    <w:rPr>
                      <w:rFonts w:ascii="Times New Roman" w:hAnsi="Times New Roman" w:cs="Times New Roman"/>
                      <w:sz w:val="20"/>
                      <w:szCs w:val="20"/>
                    </w:rPr>
                    <w:t xml:space="preserve"> de la souche lactique </w:t>
                  </w:r>
                  <w:r w:rsidRPr="009568CE">
                    <w:rPr>
                      <w:rFonts w:ascii="Times New Roman" w:hAnsi="Times New Roman" w:cs="Times New Roman"/>
                      <w:b/>
                      <w:bCs/>
                      <w:i/>
                      <w:iCs/>
                      <w:sz w:val="20"/>
                      <w:szCs w:val="20"/>
                    </w:rPr>
                    <w:t>Streptococcus thermophilus</w:t>
                  </w:r>
                  <w:r w:rsidRPr="003468B2">
                    <w:rPr>
                      <w:rFonts w:ascii="Times New Roman" w:hAnsi="Times New Roman" w:cs="Times New Roman"/>
                      <w:sz w:val="20"/>
                      <w:szCs w:val="20"/>
                    </w:rPr>
                    <w:t xml:space="preserve"> STB01 en culture mixte avec une souche </w:t>
                  </w:r>
                  <w:r>
                    <w:rPr>
                      <w:rFonts w:ascii="Times New Roman" w:hAnsi="Times New Roman" w:cs="Times New Roman"/>
                      <w:sz w:val="20"/>
                      <w:szCs w:val="20"/>
                    </w:rPr>
                    <w:t>bénéf</w:t>
                  </w:r>
                  <w:r w:rsidRPr="003468B2">
                    <w:rPr>
                      <w:rFonts w:ascii="Times New Roman" w:hAnsi="Times New Roman" w:cs="Times New Roman"/>
                      <w:sz w:val="20"/>
                      <w:szCs w:val="20"/>
                    </w:rPr>
                    <w:t xml:space="preserve">ique BLR </w:t>
                  </w:r>
                  <w:r w:rsidRPr="003468B2">
                    <w:rPr>
                      <w:rFonts w:ascii="Times New Roman" w:hAnsi="Times New Roman" w:cs="Times New Roman"/>
                      <w:b/>
                      <w:bCs/>
                      <w:sz w:val="20"/>
                      <w:szCs w:val="20"/>
                    </w:rPr>
                    <w:t>(A)</w:t>
                  </w:r>
                  <w:r w:rsidRPr="003468B2">
                    <w:rPr>
                      <w:rFonts w:ascii="Times New Roman" w:hAnsi="Times New Roman" w:cs="Times New Roman"/>
                      <w:sz w:val="20"/>
                      <w:szCs w:val="20"/>
                    </w:rPr>
                    <w:t>; LbRE</w:t>
                  </w:r>
                  <w:r>
                    <w:rPr>
                      <w:rFonts w:ascii="Times New Roman" w:hAnsi="Times New Roman" w:cs="Times New Roman"/>
                      <w:sz w:val="20"/>
                      <w:szCs w:val="20"/>
                    </w:rPr>
                    <w:t>-</w:t>
                  </w:r>
                  <w:r w:rsidRPr="003468B2">
                    <w:rPr>
                      <w:rFonts w:ascii="Times New Roman" w:hAnsi="Times New Roman" w:cs="Times New Roman"/>
                      <w:sz w:val="20"/>
                      <w:szCs w:val="20"/>
                    </w:rPr>
                    <w:t xml:space="preserve">LSAS </w:t>
                  </w:r>
                  <w:r w:rsidRPr="003468B2">
                    <w:rPr>
                      <w:rFonts w:ascii="Times New Roman" w:hAnsi="Times New Roman" w:cs="Times New Roman"/>
                      <w:b/>
                      <w:bCs/>
                      <w:sz w:val="20"/>
                      <w:szCs w:val="20"/>
                    </w:rPr>
                    <w:t>(B)</w:t>
                  </w:r>
                  <w:r w:rsidRPr="003468B2">
                    <w:rPr>
                      <w:rFonts w:ascii="Times New Roman" w:hAnsi="Times New Roman" w:cs="Times New Roman"/>
                      <w:sz w:val="20"/>
                      <w:szCs w:val="20"/>
                    </w:rPr>
                    <w:t>; Bb12 </w:t>
                  </w:r>
                  <w:r w:rsidRPr="003468B2">
                    <w:rPr>
                      <w:rFonts w:ascii="Times New Roman" w:hAnsi="Times New Roman" w:cs="Times New Roman"/>
                      <w:b/>
                      <w:bCs/>
                      <w:sz w:val="20"/>
                      <w:szCs w:val="20"/>
                    </w:rPr>
                    <w:t>(C)</w:t>
                  </w:r>
                  <w:r w:rsidRPr="003468B2">
                    <w:rPr>
                      <w:rFonts w:ascii="Times New Roman" w:hAnsi="Times New Roman" w:cs="Times New Roman"/>
                      <w:sz w:val="20"/>
                      <w:szCs w:val="20"/>
                    </w:rPr>
                    <w:t xml:space="preserve">; </w:t>
                  </w:r>
                  <w:r>
                    <w:rPr>
                      <w:rFonts w:ascii="Times New Roman" w:hAnsi="Times New Roman" w:cs="Times New Roman"/>
                      <w:sz w:val="20"/>
                      <w:szCs w:val="20"/>
                    </w:rPr>
                    <w:t xml:space="preserve">Lba </w:t>
                  </w:r>
                  <w:r w:rsidRPr="003468B2">
                    <w:rPr>
                      <w:rFonts w:ascii="Times New Roman" w:hAnsi="Times New Roman" w:cs="Times New Roman"/>
                      <w:sz w:val="20"/>
                      <w:szCs w:val="20"/>
                    </w:rPr>
                    <w:t xml:space="preserve">CECT4529 </w:t>
                  </w:r>
                  <w:r w:rsidRPr="003468B2">
                    <w:rPr>
                      <w:rFonts w:ascii="Times New Roman" w:hAnsi="Times New Roman" w:cs="Times New Roman"/>
                      <w:b/>
                      <w:bCs/>
                      <w:sz w:val="20"/>
                      <w:szCs w:val="20"/>
                    </w:rPr>
                    <w:t>(D)</w:t>
                  </w:r>
                  <w:r>
                    <w:rPr>
                      <w:rFonts w:ascii="Times New Roman" w:hAnsi="Times New Roman" w:cs="Times New Roman"/>
                      <w:sz w:val="20"/>
                      <w:szCs w:val="20"/>
                    </w:rPr>
                    <w:t xml:space="preserve"> ou</w:t>
                  </w:r>
                  <w:r w:rsidRPr="003468B2">
                    <w:rPr>
                      <w:rFonts w:ascii="Times New Roman" w:hAnsi="Times New Roman" w:cs="Times New Roman"/>
                      <w:sz w:val="20"/>
                      <w:szCs w:val="20"/>
                    </w:rPr>
                    <w:t xml:space="preserve"> </w:t>
                  </w:r>
                  <w:r>
                    <w:rPr>
                      <w:rFonts w:ascii="Times New Roman" w:hAnsi="Times New Roman" w:cs="Times New Roman"/>
                      <w:sz w:val="20"/>
                      <w:szCs w:val="20"/>
                    </w:rPr>
                    <w:t xml:space="preserve">Lbp </w:t>
                  </w:r>
                  <w:r w:rsidRPr="003468B2">
                    <w:rPr>
                      <w:rFonts w:ascii="Times New Roman" w:hAnsi="Times New Roman" w:cs="Times New Roman"/>
                      <w:sz w:val="20"/>
                      <w:szCs w:val="20"/>
                    </w:rPr>
                    <w:t xml:space="preserve">CECT748 </w:t>
                  </w:r>
                  <w:r w:rsidRPr="003468B2">
                    <w:rPr>
                      <w:rFonts w:ascii="Times New Roman" w:hAnsi="Times New Roman" w:cs="Times New Roman"/>
                      <w:b/>
                      <w:bCs/>
                      <w:sz w:val="20"/>
                      <w:szCs w:val="20"/>
                    </w:rPr>
                    <w:t>(E)</w:t>
                  </w:r>
                  <w:r w:rsidRPr="003468B2">
                    <w:rPr>
                      <w:rFonts w:ascii="Times New Roman" w:hAnsi="Times New Roman" w:cs="Times New Roman"/>
                      <w:sz w:val="20"/>
                      <w:szCs w:val="20"/>
                    </w:rPr>
                    <w:t xml:space="preserve"> à 37°C sur milieu lait. Cultures mixtes témoin (</w:t>
                  </w:r>
                  <w:r w:rsidRPr="00C44983">
                    <w:rPr>
                      <w:rFonts w:ascii="Times New Roman" w:hAnsi="Times New Roman" w:cs="Times New Roman"/>
                      <w:noProof/>
                      <w:color w:val="0070C0"/>
                      <w:sz w:val="20"/>
                      <w:szCs w:val="20"/>
                      <w:lang w:eastAsia="fr-FR"/>
                    </w:rPr>
                    <w:t>■</w:t>
                  </w:r>
                  <w:r w:rsidRPr="003468B2">
                    <w:rPr>
                      <w:rFonts w:ascii="Times New Roman" w:hAnsi="Times New Roman" w:cs="Times New Roman"/>
                      <w:sz w:val="20"/>
                      <w:szCs w:val="20"/>
                    </w:rPr>
                    <w:t xml:space="preserve">), cultures mixtes additionnées de 0,53% </w:t>
                  </w:r>
                  <w:r>
                    <w:rPr>
                      <w:rFonts w:ascii="Times New Roman" w:hAnsi="Times New Roman" w:cs="Times New Roman"/>
                      <w:sz w:val="20"/>
                      <w:szCs w:val="20"/>
                    </w:rPr>
                    <w:t xml:space="preserve">(P/V) : </w:t>
                  </w:r>
                  <w:r w:rsidRPr="003468B2">
                    <w:rPr>
                      <w:rFonts w:ascii="Times New Roman" w:hAnsi="Times New Roman" w:cs="Times New Roman"/>
                      <w:sz w:val="20"/>
                      <w:szCs w:val="20"/>
                    </w:rPr>
                    <w:t>de lactosérum doux (</w:t>
                  </w:r>
                  <w:r w:rsidRPr="007A6C8B">
                    <w:rPr>
                      <w:rFonts w:ascii="Times New Roman" w:hAnsi="Times New Roman" w:cs="Times New Roman"/>
                      <w:color w:val="FF9900"/>
                      <w:sz w:val="20"/>
                      <w:szCs w:val="20"/>
                    </w:rPr>
                    <w:t>■</w:t>
                  </w:r>
                  <w:r w:rsidRPr="003468B2">
                    <w:rPr>
                      <w:rFonts w:ascii="Times New Roman" w:hAnsi="Times New Roman" w:cs="Times New Roman"/>
                      <w:sz w:val="20"/>
                      <w:szCs w:val="20"/>
                    </w:rPr>
                    <w:t>), de Promilk 852A2 (</w:t>
                  </w:r>
                  <w:r w:rsidRPr="00C44983">
                    <w:rPr>
                      <w:rFonts w:ascii="Times New Roman" w:hAnsi="Times New Roman" w:cs="Times New Roman"/>
                      <w:color w:val="92D050"/>
                      <w:sz w:val="20"/>
                      <w:szCs w:val="20"/>
                    </w:rPr>
                    <w:t>■</w:t>
                  </w:r>
                  <w:r w:rsidRPr="003468B2">
                    <w:rPr>
                      <w:rFonts w:ascii="Times New Roman" w:hAnsi="Times New Roman" w:cs="Times New Roman"/>
                      <w:sz w:val="20"/>
                      <w:szCs w:val="20"/>
                    </w:rPr>
                    <w:t>),</w:t>
                  </w:r>
                  <w:r>
                    <w:rPr>
                      <w:rFonts w:ascii="Times New Roman" w:hAnsi="Times New Roman" w:cs="Times New Roman"/>
                      <w:sz w:val="20"/>
                      <w:szCs w:val="20"/>
                    </w:rPr>
                    <w:t xml:space="preserve"> </w:t>
                  </w:r>
                  <w:r w:rsidRPr="003468B2">
                    <w:rPr>
                      <w:rFonts w:ascii="Times New Roman" w:hAnsi="Times New Roman" w:cs="Times New Roman"/>
                      <w:sz w:val="20"/>
                      <w:szCs w:val="20"/>
                    </w:rPr>
                    <w:t>de Promilk C502 (</w:t>
                  </w:r>
                  <w:r w:rsidRPr="00C44983">
                    <w:rPr>
                      <w:rFonts w:ascii="Times New Roman" w:hAnsi="Times New Roman" w:cs="Times New Roman"/>
                      <w:color w:val="FF33CC"/>
                      <w:sz w:val="20"/>
                      <w:szCs w:val="20"/>
                    </w:rPr>
                    <w:t>■</w:t>
                  </w:r>
                  <w:r w:rsidRPr="003468B2">
                    <w:rPr>
                      <w:rFonts w:ascii="Times New Roman" w:hAnsi="Times New Roman" w:cs="Times New Roman"/>
                      <w:sz w:val="20"/>
                      <w:szCs w:val="20"/>
                    </w:rPr>
                    <w:t>)</w:t>
                  </w:r>
                  <w:r>
                    <w:rPr>
                      <w:rFonts w:ascii="Times New Roman" w:hAnsi="Times New Roman" w:cs="Times New Roman"/>
                      <w:sz w:val="20"/>
                      <w:szCs w:val="20"/>
                    </w:rPr>
                    <w:t xml:space="preserve"> ou </w:t>
                  </w:r>
                  <w:r w:rsidRPr="003468B2">
                    <w:rPr>
                      <w:rFonts w:ascii="Times New Roman" w:hAnsi="Times New Roman" w:cs="Times New Roman"/>
                      <w:sz w:val="20"/>
                      <w:szCs w:val="20"/>
                    </w:rPr>
                    <w:t>d’hydrolysat de caséine (</w:t>
                  </w:r>
                  <w:r w:rsidRPr="00C44983">
                    <w:rPr>
                      <w:rFonts w:ascii="Times New Roman" w:hAnsi="Times New Roman" w:cs="Times New Roman"/>
                      <w:color w:val="990099"/>
                      <w:sz w:val="20"/>
                      <w:szCs w:val="20"/>
                    </w:rPr>
                    <w:t>■</w:t>
                  </w:r>
                  <w:r>
                    <w:rPr>
                      <w:rFonts w:ascii="Times New Roman" w:hAnsi="Times New Roman" w:cs="Times New Roman"/>
                      <w:sz w:val="20"/>
                      <w:szCs w:val="20"/>
                    </w:rPr>
                    <w:t>)</w:t>
                  </w:r>
                  <w:r w:rsidRPr="003468B2">
                    <w:rPr>
                      <w:rFonts w:ascii="Times New Roman" w:hAnsi="Times New Roman" w:cs="Times New Roman"/>
                      <w:sz w:val="20"/>
                      <w:szCs w:val="20"/>
                    </w:rPr>
                    <w:t>. Dans toutes les cultures mixtes, l’inoculum est</w:t>
                  </w:r>
                  <w:r>
                    <w:rPr>
                      <w:rFonts w:ascii="Times New Roman" w:hAnsi="Times New Roman" w:cs="Times New Roman"/>
                      <w:sz w:val="20"/>
                      <w:szCs w:val="20"/>
                    </w:rPr>
                    <w:t xml:space="preserve"> à une concentration finale de </w:t>
                  </w:r>
                  <w:r w:rsidRPr="003468B2">
                    <w:rPr>
                      <w:rFonts w:ascii="Times New Roman" w:hAnsi="Times New Roman" w:cs="Times New Roman"/>
                      <w:sz w:val="20"/>
                      <w:szCs w:val="20"/>
                    </w:rPr>
                    <w:t>10</w:t>
                  </w:r>
                  <w:r w:rsidRPr="003468B2">
                    <w:rPr>
                      <w:rFonts w:ascii="Times New Roman" w:hAnsi="Times New Roman" w:cs="Times New Roman"/>
                      <w:sz w:val="20"/>
                      <w:szCs w:val="20"/>
                      <w:vertAlign w:val="superscript"/>
                    </w:rPr>
                    <w:t>6</w:t>
                  </w:r>
                  <w:r w:rsidRPr="003468B2">
                    <w:rPr>
                      <w:rFonts w:ascii="Times New Roman" w:hAnsi="Times New Roman" w:cs="Times New Roman"/>
                      <w:sz w:val="20"/>
                      <w:szCs w:val="20"/>
                    </w:rPr>
                    <w:t xml:space="preserve"> UFC/ml et utilisé à 1% (1 :1). Les valeurs représentent la moyenne (m) de 9 déterminations ±S</w:t>
                  </w:r>
                  <w:r>
                    <w:rPr>
                      <w:rFonts w:ascii="Times New Roman" w:hAnsi="Times New Roman" w:cs="Times New Roman"/>
                      <w:sz w:val="20"/>
                      <w:szCs w:val="20"/>
                    </w:rPr>
                    <w:t>EM</w:t>
                  </w:r>
                  <w:r w:rsidRPr="003468B2">
                    <w:rPr>
                      <w:rFonts w:ascii="Times New Roman" w:hAnsi="Times New Roman" w:cs="Times New Roman"/>
                      <w:sz w:val="20"/>
                      <w:szCs w:val="20"/>
                    </w:rPr>
                    <w:t xml:space="preserve"> (n</w:t>
                  </w:r>
                  <w:r>
                    <w:rPr>
                      <w:rFonts w:ascii="Times New Roman" w:hAnsi="Times New Roman" w:cs="Times New Roman"/>
                      <w:sz w:val="20"/>
                      <w:szCs w:val="20"/>
                    </w:rPr>
                    <w:t xml:space="preserve"> </w:t>
                  </w:r>
                  <w:r w:rsidRPr="003468B2">
                    <w:rPr>
                      <w:rFonts w:ascii="Times New Roman" w:hAnsi="Times New Roman" w:cs="Times New Roman"/>
                      <w:sz w:val="20"/>
                      <w:szCs w:val="20"/>
                    </w:rPr>
                    <w:t>=</w:t>
                  </w:r>
                  <w:r>
                    <w:rPr>
                      <w:rFonts w:ascii="Times New Roman" w:hAnsi="Times New Roman" w:cs="Times New Roman"/>
                      <w:sz w:val="20"/>
                      <w:szCs w:val="20"/>
                    </w:rPr>
                    <w:t xml:space="preserve"> </w:t>
                  </w:r>
                  <w:r w:rsidRPr="003468B2">
                    <w:rPr>
                      <w:rFonts w:ascii="Times New Roman" w:hAnsi="Times New Roman" w:cs="Times New Roman"/>
                      <w:sz w:val="20"/>
                      <w:szCs w:val="20"/>
                    </w:rPr>
                    <w:t>9). T0</w:t>
                  </w:r>
                  <w:r>
                    <w:rPr>
                      <w:rFonts w:ascii="Times New Roman" w:hAnsi="Times New Roman" w:cs="Times New Roman"/>
                      <w:sz w:val="20"/>
                      <w:szCs w:val="20"/>
                    </w:rPr>
                    <w:t xml:space="preserve"> </w:t>
                  </w:r>
                  <w:r w:rsidRPr="003468B2">
                    <w:rPr>
                      <w:rFonts w:ascii="Times New Roman" w:hAnsi="Times New Roman" w:cs="Times New Roman"/>
                      <w:sz w:val="20"/>
                      <w:szCs w:val="20"/>
                    </w:rPr>
                    <w:t>= 0h ; T1</w:t>
                  </w:r>
                  <w:r>
                    <w:rPr>
                      <w:rFonts w:ascii="Times New Roman" w:hAnsi="Times New Roman" w:cs="Times New Roman"/>
                      <w:sz w:val="20"/>
                      <w:szCs w:val="20"/>
                    </w:rPr>
                    <w:t xml:space="preserve"> </w:t>
                  </w:r>
                  <w:r w:rsidRPr="003468B2">
                    <w:rPr>
                      <w:rFonts w:ascii="Times New Roman" w:hAnsi="Times New Roman" w:cs="Times New Roman"/>
                      <w:sz w:val="20"/>
                      <w:szCs w:val="20"/>
                    </w:rPr>
                    <w:t>=</w:t>
                  </w:r>
                  <w:r>
                    <w:rPr>
                      <w:rFonts w:ascii="Times New Roman" w:hAnsi="Times New Roman" w:cs="Times New Roman"/>
                      <w:sz w:val="20"/>
                      <w:szCs w:val="20"/>
                    </w:rPr>
                    <w:t xml:space="preserve"> </w:t>
                  </w:r>
                  <w:r w:rsidRPr="003468B2">
                    <w:rPr>
                      <w:rFonts w:ascii="Times New Roman" w:hAnsi="Times New Roman" w:cs="Times New Roman"/>
                      <w:sz w:val="20"/>
                      <w:szCs w:val="20"/>
                    </w:rPr>
                    <w:t>2h ; T2</w:t>
                  </w:r>
                  <w:r>
                    <w:rPr>
                      <w:rFonts w:ascii="Times New Roman" w:hAnsi="Times New Roman" w:cs="Times New Roman"/>
                      <w:sz w:val="20"/>
                      <w:szCs w:val="20"/>
                    </w:rPr>
                    <w:t xml:space="preserve"> </w:t>
                  </w:r>
                  <w:r w:rsidRPr="003468B2">
                    <w:rPr>
                      <w:rFonts w:ascii="Times New Roman" w:hAnsi="Times New Roman" w:cs="Times New Roman"/>
                      <w:sz w:val="20"/>
                      <w:szCs w:val="20"/>
                    </w:rPr>
                    <w:t>=</w:t>
                  </w:r>
                  <w:r>
                    <w:rPr>
                      <w:rFonts w:ascii="Times New Roman" w:hAnsi="Times New Roman" w:cs="Times New Roman"/>
                      <w:sz w:val="20"/>
                      <w:szCs w:val="20"/>
                    </w:rPr>
                    <w:t xml:space="preserve"> </w:t>
                  </w:r>
                  <w:r w:rsidRPr="003468B2">
                    <w:rPr>
                      <w:rFonts w:ascii="Times New Roman" w:hAnsi="Times New Roman" w:cs="Times New Roman"/>
                      <w:sz w:val="20"/>
                      <w:szCs w:val="20"/>
                    </w:rPr>
                    <w:t>4h, T3</w:t>
                  </w:r>
                  <w:r>
                    <w:rPr>
                      <w:rFonts w:ascii="Times New Roman" w:hAnsi="Times New Roman" w:cs="Times New Roman"/>
                      <w:sz w:val="20"/>
                      <w:szCs w:val="20"/>
                    </w:rPr>
                    <w:t xml:space="preserve"> </w:t>
                  </w:r>
                  <w:r w:rsidRPr="003468B2">
                    <w:rPr>
                      <w:rFonts w:ascii="Times New Roman" w:hAnsi="Times New Roman" w:cs="Times New Roman"/>
                      <w:sz w:val="20"/>
                      <w:szCs w:val="20"/>
                    </w:rPr>
                    <w:t>=</w:t>
                  </w:r>
                  <w:r>
                    <w:rPr>
                      <w:rFonts w:ascii="Times New Roman" w:hAnsi="Times New Roman" w:cs="Times New Roman"/>
                      <w:sz w:val="20"/>
                      <w:szCs w:val="20"/>
                    </w:rPr>
                    <w:t xml:space="preserve"> temps</w:t>
                  </w:r>
                  <w:r w:rsidRPr="003468B2">
                    <w:rPr>
                      <w:rFonts w:ascii="Times New Roman" w:hAnsi="Times New Roman" w:cs="Times New Roman"/>
                      <w:sz w:val="20"/>
                      <w:szCs w:val="20"/>
                    </w:rPr>
                    <w:t xml:space="preserve"> de coagulation (pH</w:t>
                  </w:r>
                  <w:r>
                    <w:rPr>
                      <w:rFonts w:ascii="Times New Roman" w:hAnsi="Times New Roman" w:cs="Times New Roman"/>
                      <w:sz w:val="20"/>
                      <w:szCs w:val="20"/>
                    </w:rPr>
                    <w:t xml:space="preserve"> </w:t>
                  </w:r>
                  <w:r w:rsidRPr="003468B2">
                    <w:rPr>
                      <w:rFonts w:ascii="Times New Roman" w:hAnsi="Times New Roman" w:cs="Times New Roman"/>
                      <w:sz w:val="20"/>
                      <w:szCs w:val="20"/>
                    </w:rPr>
                    <w:t>5).</w:t>
                  </w:r>
                </w:p>
                <w:p w:rsidR="00310CA5" w:rsidRDefault="00310CA5" w:rsidP="006C66E7"/>
              </w:txbxContent>
            </v:textbox>
          </v:shape>
        </w:pict>
      </w:r>
      <w:r>
        <w:rPr>
          <w:rFonts w:asciiTheme="majorBidi" w:hAnsiTheme="majorBidi" w:cstheme="majorBidi"/>
          <w:noProof/>
          <w:lang w:eastAsia="fr-FR"/>
        </w:rPr>
        <w:pict>
          <v:shape id="_x0000_s2051" type="#_x0000_t202" style="position:absolute;margin-left:-1.65pt;margin-top:-5.9pt;width:438.75pt;height:687pt;z-index:251661312">
            <v:textbox style="mso-next-textbox:#_x0000_s2051">
              <w:txbxContent>
                <w:p w:rsidR="00310CA5" w:rsidRDefault="00310CA5" w:rsidP="006C66E7">
                  <w:pPr>
                    <w:ind w:firstLine="142"/>
                  </w:pPr>
                </w:p>
              </w:txbxContent>
            </v:textbox>
          </v:shape>
        </w:pict>
      </w:r>
      <w:r>
        <w:rPr>
          <w:rFonts w:asciiTheme="majorBidi" w:hAnsiTheme="majorBidi" w:cstheme="majorBidi"/>
          <w:noProof/>
          <w:lang w:eastAsia="fr-FR"/>
        </w:rPr>
        <w:pict>
          <v:shape id="_x0000_s2062" type="#_x0000_t202" style="position:absolute;margin-left:229.35pt;margin-top:365.35pt;width:197.25pt;height:195.75pt;z-index:251672576" strokecolor="white [3212]">
            <v:textbox style="mso-next-textbox:#_x0000_s2062">
              <w:txbxContent>
                <w:p w:rsidR="00310CA5" w:rsidRDefault="00310CA5" w:rsidP="006C66E7">
                  <w:pPr>
                    <w:ind w:firstLine="0"/>
                  </w:pPr>
                  <w:r w:rsidRPr="003520F9">
                    <w:rPr>
                      <w:noProof/>
                      <w:lang w:eastAsia="fr-FR"/>
                    </w:rPr>
                    <w:drawing>
                      <wp:inline distT="0" distB="0" distL="0" distR="0">
                        <wp:extent cx="2312670" cy="2286000"/>
                        <wp:effectExtent l="57150" t="19050" r="11430" b="0"/>
                        <wp:docPr id="54" name="Graphique 5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xbxContent>
            </v:textbox>
          </v:shape>
        </w:pict>
      </w:r>
      <w:r>
        <w:rPr>
          <w:rFonts w:asciiTheme="majorBidi" w:hAnsiTheme="majorBidi" w:cstheme="majorBidi"/>
          <w:noProof/>
          <w:lang w:eastAsia="fr-FR"/>
        </w:rPr>
        <w:pict>
          <v:shape id="_x0000_s2061" type="#_x0000_t202" style="position:absolute;margin-left:5.85pt;margin-top:365.35pt;width:213.75pt;height:195.75pt;z-index:251671552" strokecolor="white [3212]">
            <v:textbox style="mso-next-textbox:#_x0000_s2061">
              <w:txbxContent>
                <w:p w:rsidR="00310CA5" w:rsidRDefault="00310CA5" w:rsidP="006C66E7">
                  <w:pPr>
                    <w:ind w:firstLine="0"/>
                  </w:pPr>
                  <w:r w:rsidRPr="003520F9">
                    <w:rPr>
                      <w:noProof/>
                      <w:lang w:eastAsia="fr-FR"/>
                    </w:rPr>
                    <w:drawing>
                      <wp:inline distT="0" distB="0" distL="0" distR="0">
                        <wp:extent cx="2522220" cy="2305050"/>
                        <wp:effectExtent l="19050" t="0" r="11430" b="0"/>
                        <wp:docPr id="53" name="Graphique 5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xbxContent>
            </v:textbox>
          </v:shape>
        </w:pict>
      </w:r>
      <w:r>
        <w:rPr>
          <w:rFonts w:asciiTheme="majorBidi" w:hAnsiTheme="majorBidi" w:cstheme="majorBidi"/>
          <w:noProof/>
          <w:lang w:eastAsia="fr-FR"/>
        </w:rPr>
        <w:pict>
          <v:shape id="_x0000_s2060" type="#_x0000_t202" style="position:absolute;margin-left:111.6pt;margin-top:183.1pt;width:211.5pt;height:182.25pt;z-index:251670528" strokecolor="white [3212]">
            <v:textbox style="mso-next-textbox:#_x0000_s2060">
              <w:txbxContent>
                <w:p w:rsidR="00310CA5" w:rsidRDefault="00310CA5" w:rsidP="006C66E7">
                  <w:pPr>
                    <w:ind w:firstLine="0"/>
                  </w:pPr>
                  <w:r w:rsidRPr="003520F9">
                    <w:rPr>
                      <w:noProof/>
                      <w:lang w:eastAsia="fr-FR"/>
                    </w:rPr>
                    <w:drawing>
                      <wp:inline distT="0" distB="0" distL="0" distR="0">
                        <wp:extent cx="2493645" cy="2047022"/>
                        <wp:effectExtent l="57150" t="19050" r="20955" b="0"/>
                        <wp:docPr id="52" name="Graphique 5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xbxContent>
            </v:textbox>
          </v:shape>
        </w:pict>
      </w:r>
      <w:r>
        <w:rPr>
          <w:rFonts w:asciiTheme="majorBidi" w:hAnsiTheme="majorBidi" w:cstheme="majorBidi"/>
          <w:noProof/>
          <w:lang w:eastAsia="fr-FR"/>
        </w:rPr>
        <w:pict>
          <v:shape id="_x0000_s2059" type="#_x0000_t202" style="position:absolute;margin-left:223.35pt;margin-top:-1.4pt;width:203.25pt;height:178.5pt;z-index:251669504" strokecolor="white [3212]">
            <v:textbox style="mso-next-textbox:#_x0000_s2059">
              <w:txbxContent>
                <w:p w:rsidR="00310CA5" w:rsidRPr="003520F9" w:rsidRDefault="00310CA5" w:rsidP="006C66E7">
                  <w:pPr>
                    <w:ind w:firstLine="0"/>
                  </w:pPr>
                  <w:r w:rsidRPr="003520F9">
                    <w:rPr>
                      <w:noProof/>
                      <w:lang w:eastAsia="fr-FR"/>
                    </w:rPr>
                    <w:drawing>
                      <wp:inline distT="0" distB="0" distL="0" distR="0">
                        <wp:extent cx="2388870" cy="2124075"/>
                        <wp:effectExtent l="38100" t="19050" r="11430" b="0"/>
                        <wp:docPr id="51" name="Graphique 5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xbxContent>
            </v:textbox>
          </v:shape>
        </w:pict>
      </w:r>
      <w:r>
        <w:rPr>
          <w:rFonts w:asciiTheme="majorBidi" w:hAnsiTheme="majorBidi" w:cstheme="majorBidi"/>
          <w:noProof/>
          <w:lang w:eastAsia="fr-FR"/>
        </w:rPr>
        <w:pict>
          <v:shape id="_x0000_s2058" type="#_x0000_t202" style="position:absolute;margin-left:5.85pt;margin-top:-1.4pt;width:208.5pt;height:178.5pt;z-index:251668480" strokecolor="white [3212]">
            <v:textbox style="mso-next-textbox:#_x0000_s2058">
              <w:txbxContent>
                <w:p w:rsidR="00310CA5" w:rsidRDefault="00310CA5" w:rsidP="006C66E7">
                  <w:pPr>
                    <w:ind w:firstLine="0"/>
                  </w:pPr>
                  <w:r w:rsidRPr="003520F9">
                    <w:rPr>
                      <w:noProof/>
                      <w:lang w:eastAsia="fr-FR"/>
                    </w:rPr>
                    <w:drawing>
                      <wp:inline distT="0" distB="0" distL="0" distR="0">
                        <wp:extent cx="2455545" cy="2076450"/>
                        <wp:effectExtent l="57150" t="19050" r="20955" b="0"/>
                        <wp:docPr id="50" name="Graphique 5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xbxContent>
            </v:textbox>
          </v:shape>
        </w:pict>
      </w:r>
      <w:r w:rsidR="006C66E7">
        <w:rPr>
          <w:rFonts w:asciiTheme="majorBidi" w:hAnsiTheme="majorBidi" w:cstheme="majorBidi"/>
        </w:rPr>
        <w:br w:type="page"/>
      </w:r>
    </w:p>
    <w:p w:rsidR="006C66E7" w:rsidRPr="0067253E" w:rsidRDefault="006C66E7" w:rsidP="006C66E7">
      <w:pPr>
        <w:spacing w:before="0" w:after="0" w:line="360" w:lineRule="auto"/>
        <w:ind w:firstLine="0"/>
        <w:contextualSpacing/>
        <w:jc w:val="both"/>
        <w:rPr>
          <w:rFonts w:asciiTheme="majorBidi" w:hAnsiTheme="majorBidi" w:cstheme="majorBidi"/>
        </w:rPr>
      </w:pPr>
      <w:r>
        <w:rPr>
          <w:rFonts w:asciiTheme="majorBidi" w:hAnsiTheme="majorBidi" w:cstheme="majorBidi"/>
        </w:rPr>
        <w:lastRenderedPageBreak/>
        <w:t>s</w:t>
      </w:r>
      <w:r w:rsidRPr="0067253E">
        <w:rPr>
          <w:rFonts w:asciiTheme="majorBidi" w:hAnsiTheme="majorBidi" w:cstheme="majorBidi"/>
        </w:rPr>
        <w:t>ouche bénéfique, avec une</w:t>
      </w:r>
      <w:r>
        <w:rPr>
          <w:rFonts w:asciiTheme="majorBidi" w:hAnsiTheme="majorBidi" w:cstheme="majorBidi"/>
        </w:rPr>
        <w:t xml:space="preserve"> </w:t>
      </w:r>
      <w:r w:rsidRPr="0067253E">
        <w:rPr>
          <w:rFonts w:asciiTheme="majorBidi" w:hAnsiTheme="majorBidi" w:cstheme="majorBidi"/>
        </w:rPr>
        <w:t>augmentation (P&lt;0.05) de 0.69 à 1.17 unités logarithmiques par rapport au témoin.</w:t>
      </w:r>
    </w:p>
    <w:p w:rsidR="006C66E7" w:rsidRDefault="006C66E7" w:rsidP="00D81AD1">
      <w:pPr>
        <w:spacing w:before="0" w:after="0" w:line="360" w:lineRule="auto"/>
        <w:ind w:firstLine="360"/>
        <w:contextualSpacing/>
        <w:jc w:val="both"/>
        <w:rPr>
          <w:rFonts w:asciiTheme="majorBidi" w:hAnsiTheme="majorBidi" w:cstheme="majorBidi"/>
        </w:rPr>
      </w:pPr>
    </w:p>
    <w:p w:rsidR="006C66E7" w:rsidRPr="000A2A0E" w:rsidRDefault="006C66E7" w:rsidP="00D81AD1">
      <w:pPr>
        <w:spacing w:before="0" w:after="0" w:line="360" w:lineRule="auto"/>
        <w:ind w:left="1418" w:hanging="1418"/>
        <w:jc w:val="both"/>
        <w:rPr>
          <w:rFonts w:asciiTheme="majorBidi" w:hAnsiTheme="majorBidi" w:cstheme="majorBidi"/>
          <w:b/>
          <w:bCs/>
        </w:rPr>
      </w:pPr>
      <w:r w:rsidRPr="000A2A0E">
        <w:rPr>
          <w:rFonts w:asciiTheme="majorBidi" w:hAnsiTheme="majorBidi" w:cstheme="majorBidi"/>
          <w:b/>
          <w:bCs/>
          <w:u w:val="single"/>
        </w:rPr>
        <w:t>Tableau 14</w:t>
      </w:r>
      <w:r w:rsidRPr="000A2A0E">
        <w:rPr>
          <w:rFonts w:asciiTheme="majorBidi" w:hAnsiTheme="majorBidi" w:cstheme="majorBidi"/>
          <w:b/>
          <w:bCs/>
        </w:rPr>
        <w:t> : Vitesses spécifiques maximales de croissance (µ max en h</w:t>
      </w:r>
      <w:r w:rsidRPr="000A2A0E">
        <w:rPr>
          <w:rFonts w:asciiTheme="majorBidi" w:hAnsiTheme="majorBidi" w:cstheme="majorBidi"/>
          <w:b/>
          <w:bCs/>
          <w:vertAlign w:val="superscript"/>
        </w:rPr>
        <w:t>-1</w:t>
      </w:r>
      <w:r w:rsidRPr="000A2A0E">
        <w:rPr>
          <w:rFonts w:asciiTheme="majorBidi" w:hAnsiTheme="majorBidi" w:cstheme="majorBidi"/>
          <w:b/>
          <w:bCs/>
        </w:rPr>
        <w:t xml:space="preserve">); temps de génération (Tg en h) et temps de coagulation (Tc en h) des souches bénéfiques en absence (Témoin) et en présence des ingrédients protéiques. </w:t>
      </w:r>
    </w:p>
    <w:tbl>
      <w:tblPr>
        <w:tblStyle w:val="Grilledutableau"/>
        <w:tblW w:w="11341" w:type="dxa"/>
        <w:tblInd w:w="-1735" w:type="dxa"/>
        <w:tblBorders>
          <w:left w:val="none" w:sz="0" w:space="0" w:color="auto"/>
          <w:right w:val="none" w:sz="0" w:space="0" w:color="auto"/>
          <w:insideV w:val="none" w:sz="0" w:space="0" w:color="auto"/>
        </w:tblBorders>
        <w:tblLayout w:type="fixed"/>
        <w:tblLook w:val="04A0"/>
      </w:tblPr>
      <w:tblGrid>
        <w:gridCol w:w="1985"/>
        <w:gridCol w:w="709"/>
        <w:gridCol w:w="567"/>
        <w:gridCol w:w="709"/>
        <w:gridCol w:w="708"/>
        <w:gridCol w:w="567"/>
        <w:gridCol w:w="567"/>
        <w:gridCol w:w="709"/>
        <w:gridCol w:w="567"/>
        <w:gridCol w:w="567"/>
        <w:gridCol w:w="709"/>
        <w:gridCol w:w="567"/>
        <w:gridCol w:w="567"/>
        <w:gridCol w:w="709"/>
        <w:gridCol w:w="567"/>
        <w:gridCol w:w="567"/>
      </w:tblGrid>
      <w:tr w:rsidR="006C66E7" w:rsidRPr="000A2A0E" w:rsidTr="006C66E7">
        <w:tc>
          <w:tcPr>
            <w:tcW w:w="1985" w:type="dxa"/>
            <w:vMerge w:val="restart"/>
          </w:tcPr>
          <w:p w:rsidR="006C66E7" w:rsidRPr="000A2A0E" w:rsidRDefault="006C66E7" w:rsidP="00D81AD1">
            <w:pPr>
              <w:spacing w:before="0" w:after="0" w:line="600" w:lineRule="auto"/>
              <w:jc w:val="both"/>
              <w:rPr>
                <w:rFonts w:asciiTheme="majorBidi" w:hAnsiTheme="majorBidi" w:cstheme="majorBidi"/>
                <w:b/>
                <w:bCs/>
                <w:sz w:val="24"/>
                <w:szCs w:val="24"/>
              </w:rPr>
            </w:pPr>
          </w:p>
          <w:p w:rsidR="006C66E7" w:rsidRPr="000A2A0E" w:rsidRDefault="006C66E7" w:rsidP="00D81AD1">
            <w:pPr>
              <w:spacing w:before="0" w:after="0" w:line="600" w:lineRule="auto"/>
              <w:jc w:val="both"/>
              <w:rPr>
                <w:rFonts w:asciiTheme="majorBidi" w:hAnsiTheme="majorBidi" w:cstheme="majorBidi"/>
                <w:b/>
                <w:bCs/>
                <w:sz w:val="24"/>
                <w:szCs w:val="24"/>
              </w:rPr>
            </w:pPr>
          </w:p>
          <w:p w:rsidR="006C66E7" w:rsidRPr="000A2A0E" w:rsidRDefault="006C66E7" w:rsidP="00D81AD1">
            <w:pPr>
              <w:spacing w:before="0" w:after="0" w:line="600" w:lineRule="auto"/>
              <w:ind w:firstLine="0"/>
              <w:jc w:val="both"/>
              <w:rPr>
                <w:rFonts w:asciiTheme="majorBidi" w:hAnsiTheme="majorBidi" w:cstheme="majorBidi"/>
                <w:b/>
                <w:bCs/>
                <w:sz w:val="24"/>
                <w:szCs w:val="24"/>
              </w:rPr>
            </w:pPr>
            <w:r w:rsidRPr="000A2A0E">
              <w:rPr>
                <w:rFonts w:asciiTheme="majorBidi" w:hAnsiTheme="majorBidi" w:cstheme="majorBidi"/>
                <w:b/>
                <w:bCs/>
                <w:sz w:val="24"/>
                <w:szCs w:val="24"/>
              </w:rPr>
              <w:t>Types de culture</w:t>
            </w:r>
          </w:p>
        </w:tc>
        <w:tc>
          <w:tcPr>
            <w:tcW w:w="1985" w:type="dxa"/>
            <w:gridSpan w:val="3"/>
            <w:vMerge w:val="restart"/>
          </w:tcPr>
          <w:p w:rsidR="006C66E7" w:rsidRPr="000A2A0E" w:rsidRDefault="006C66E7" w:rsidP="00D81AD1">
            <w:pPr>
              <w:spacing w:before="0" w:after="0" w:line="600" w:lineRule="auto"/>
              <w:ind w:firstLine="0"/>
              <w:jc w:val="center"/>
              <w:rPr>
                <w:rFonts w:asciiTheme="majorBidi" w:hAnsiTheme="majorBidi" w:cstheme="majorBidi"/>
                <w:b/>
                <w:bCs/>
                <w:sz w:val="24"/>
                <w:szCs w:val="24"/>
              </w:rPr>
            </w:pPr>
            <w:r w:rsidRPr="000A2A0E">
              <w:rPr>
                <w:rFonts w:asciiTheme="majorBidi" w:hAnsiTheme="majorBidi" w:cstheme="majorBidi"/>
                <w:b/>
                <w:bCs/>
                <w:sz w:val="24"/>
                <w:szCs w:val="24"/>
              </w:rPr>
              <w:t>Témoin</w:t>
            </w:r>
          </w:p>
        </w:tc>
        <w:tc>
          <w:tcPr>
            <w:tcW w:w="7371" w:type="dxa"/>
            <w:gridSpan w:val="12"/>
          </w:tcPr>
          <w:p w:rsidR="006C66E7" w:rsidRPr="000A2A0E" w:rsidRDefault="006C66E7" w:rsidP="00D81AD1">
            <w:pPr>
              <w:spacing w:before="0" w:after="0" w:line="600" w:lineRule="auto"/>
              <w:jc w:val="center"/>
              <w:rPr>
                <w:rFonts w:asciiTheme="majorBidi" w:hAnsiTheme="majorBidi" w:cstheme="majorBidi"/>
                <w:b/>
                <w:bCs/>
                <w:sz w:val="24"/>
                <w:szCs w:val="24"/>
              </w:rPr>
            </w:pPr>
            <w:r w:rsidRPr="000A2A0E">
              <w:rPr>
                <w:rFonts w:asciiTheme="majorBidi" w:hAnsiTheme="majorBidi" w:cstheme="majorBidi"/>
                <w:b/>
                <w:bCs/>
                <w:sz w:val="24"/>
                <w:szCs w:val="24"/>
              </w:rPr>
              <w:t>Echantillon avec ingrédients</w:t>
            </w:r>
          </w:p>
        </w:tc>
      </w:tr>
      <w:tr w:rsidR="006C66E7" w:rsidRPr="000A2A0E" w:rsidTr="006C66E7">
        <w:tc>
          <w:tcPr>
            <w:tcW w:w="1985" w:type="dxa"/>
            <w:vMerge/>
          </w:tcPr>
          <w:p w:rsidR="006C66E7" w:rsidRPr="000A2A0E" w:rsidRDefault="006C66E7" w:rsidP="00D81AD1">
            <w:pPr>
              <w:spacing w:before="0" w:after="0" w:line="600" w:lineRule="auto"/>
              <w:jc w:val="both"/>
              <w:rPr>
                <w:rFonts w:asciiTheme="majorBidi" w:hAnsiTheme="majorBidi" w:cstheme="majorBidi"/>
              </w:rPr>
            </w:pPr>
          </w:p>
        </w:tc>
        <w:tc>
          <w:tcPr>
            <w:tcW w:w="1985" w:type="dxa"/>
            <w:gridSpan w:val="3"/>
            <w:vMerge/>
          </w:tcPr>
          <w:p w:rsidR="006C66E7" w:rsidRPr="000A2A0E" w:rsidRDefault="006C66E7" w:rsidP="00D81AD1">
            <w:pPr>
              <w:spacing w:before="0" w:after="0" w:line="600" w:lineRule="auto"/>
              <w:jc w:val="both"/>
              <w:rPr>
                <w:rFonts w:asciiTheme="majorBidi" w:hAnsiTheme="majorBidi" w:cstheme="majorBidi"/>
              </w:rPr>
            </w:pPr>
          </w:p>
        </w:tc>
        <w:tc>
          <w:tcPr>
            <w:tcW w:w="1842" w:type="dxa"/>
            <w:gridSpan w:val="3"/>
          </w:tcPr>
          <w:p w:rsidR="006C66E7" w:rsidRPr="000A2A0E" w:rsidRDefault="006C66E7" w:rsidP="00D81AD1">
            <w:pPr>
              <w:spacing w:before="0" w:after="0" w:line="600" w:lineRule="auto"/>
              <w:ind w:firstLine="0"/>
              <w:rPr>
                <w:rFonts w:asciiTheme="majorBidi" w:hAnsiTheme="majorBidi" w:cstheme="majorBidi"/>
                <w:b/>
                <w:bCs/>
                <w:sz w:val="18"/>
                <w:szCs w:val="18"/>
              </w:rPr>
            </w:pPr>
            <w:r w:rsidRPr="000A2A0E">
              <w:rPr>
                <w:rFonts w:asciiTheme="majorBidi" w:hAnsiTheme="majorBidi" w:cstheme="majorBidi"/>
                <w:b/>
                <w:bCs/>
                <w:sz w:val="18"/>
                <w:szCs w:val="18"/>
              </w:rPr>
              <w:t>Lactosérum doux</w:t>
            </w:r>
          </w:p>
        </w:tc>
        <w:tc>
          <w:tcPr>
            <w:tcW w:w="1843" w:type="dxa"/>
            <w:gridSpan w:val="3"/>
          </w:tcPr>
          <w:p w:rsidR="006C66E7" w:rsidRPr="000A2A0E" w:rsidRDefault="006C66E7" w:rsidP="00D81AD1">
            <w:pPr>
              <w:spacing w:before="0" w:after="0" w:line="600" w:lineRule="auto"/>
              <w:ind w:firstLine="0"/>
              <w:rPr>
                <w:rFonts w:asciiTheme="majorBidi" w:hAnsiTheme="majorBidi" w:cstheme="majorBidi"/>
                <w:b/>
                <w:bCs/>
                <w:sz w:val="18"/>
                <w:szCs w:val="18"/>
              </w:rPr>
            </w:pPr>
            <w:r w:rsidRPr="000A2A0E">
              <w:rPr>
                <w:rFonts w:asciiTheme="majorBidi" w:hAnsiTheme="majorBidi" w:cstheme="majorBidi"/>
                <w:b/>
                <w:bCs/>
                <w:sz w:val="18"/>
                <w:szCs w:val="18"/>
              </w:rPr>
              <w:t>Promilk 852A2</w:t>
            </w:r>
          </w:p>
        </w:tc>
        <w:tc>
          <w:tcPr>
            <w:tcW w:w="1843" w:type="dxa"/>
            <w:gridSpan w:val="3"/>
          </w:tcPr>
          <w:p w:rsidR="006C66E7" w:rsidRPr="000A2A0E" w:rsidRDefault="006C66E7" w:rsidP="00D81AD1">
            <w:pPr>
              <w:spacing w:before="0" w:after="0" w:line="600" w:lineRule="auto"/>
              <w:ind w:firstLine="0"/>
              <w:rPr>
                <w:rFonts w:asciiTheme="majorBidi" w:hAnsiTheme="majorBidi" w:cstheme="majorBidi"/>
                <w:b/>
                <w:bCs/>
                <w:sz w:val="18"/>
                <w:szCs w:val="18"/>
              </w:rPr>
            </w:pPr>
            <w:r w:rsidRPr="000A2A0E">
              <w:rPr>
                <w:rFonts w:asciiTheme="majorBidi" w:hAnsiTheme="majorBidi" w:cstheme="majorBidi"/>
                <w:b/>
                <w:bCs/>
                <w:sz w:val="18"/>
                <w:szCs w:val="18"/>
              </w:rPr>
              <w:t>Promilk C502</w:t>
            </w:r>
          </w:p>
        </w:tc>
        <w:tc>
          <w:tcPr>
            <w:tcW w:w="1843" w:type="dxa"/>
            <w:gridSpan w:val="3"/>
          </w:tcPr>
          <w:p w:rsidR="006C66E7" w:rsidRPr="000A2A0E" w:rsidRDefault="006C66E7" w:rsidP="00D81AD1">
            <w:pPr>
              <w:spacing w:before="0" w:after="0" w:line="600" w:lineRule="auto"/>
              <w:ind w:firstLine="0"/>
              <w:jc w:val="center"/>
              <w:rPr>
                <w:rFonts w:asciiTheme="majorBidi" w:hAnsiTheme="majorBidi" w:cstheme="majorBidi"/>
                <w:b/>
                <w:bCs/>
                <w:sz w:val="20"/>
                <w:szCs w:val="20"/>
              </w:rPr>
            </w:pPr>
            <w:r w:rsidRPr="000A2A0E">
              <w:rPr>
                <w:rFonts w:asciiTheme="majorBidi" w:hAnsiTheme="majorBidi" w:cstheme="majorBidi"/>
                <w:b/>
                <w:bCs/>
                <w:sz w:val="20"/>
                <w:szCs w:val="20"/>
              </w:rPr>
              <w:t>Hydrolysat de caséine</w:t>
            </w:r>
          </w:p>
        </w:tc>
      </w:tr>
      <w:tr w:rsidR="006C66E7" w:rsidRPr="000A2A0E" w:rsidTr="006C66E7">
        <w:tc>
          <w:tcPr>
            <w:tcW w:w="1985" w:type="dxa"/>
            <w:vMerge/>
          </w:tcPr>
          <w:p w:rsidR="006C66E7" w:rsidRPr="000A2A0E" w:rsidRDefault="006C66E7" w:rsidP="00D81AD1">
            <w:pPr>
              <w:spacing w:before="0" w:after="0" w:line="600" w:lineRule="auto"/>
              <w:rPr>
                <w:rFonts w:asciiTheme="majorBidi" w:hAnsiTheme="majorBidi" w:cstheme="majorBidi"/>
                <w:sz w:val="18"/>
                <w:szCs w:val="18"/>
              </w:rPr>
            </w:pPr>
          </w:p>
        </w:tc>
        <w:tc>
          <w:tcPr>
            <w:tcW w:w="709" w:type="dxa"/>
          </w:tcPr>
          <w:p w:rsidR="006C66E7" w:rsidRPr="00DF5471" w:rsidRDefault="006C66E7" w:rsidP="00D81AD1">
            <w:pPr>
              <w:spacing w:before="0" w:after="0" w:line="600" w:lineRule="auto"/>
              <w:ind w:firstLine="0"/>
              <w:jc w:val="both"/>
              <w:rPr>
                <w:rFonts w:asciiTheme="majorBidi" w:hAnsiTheme="majorBidi" w:cstheme="majorBidi"/>
                <w:b/>
                <w:bCs/>
                <w:sz w:val="18"/>
                <w:szCs w:val="18"/>
              </w:rPr>
            </w:pPr>
            <w:r w:rsidRPr="00DF5471">
              <w:rPr>
                <w:rFonts w:asciiTheme="majorBidi" w:hAnsiTheme="majorBidi" w:cstheme="majorBidi"/>
                <w:b/>
                <w:bCs/>
                <w:sz w:val="18"/>
                <w:szCs w:val="18"/>
              </w:rPr>
              <w:t>µ max</w:t>
            </w:r>
          </w:p>
        </w:tc>
        <w:tc>
          <w:tcPr>
            <w:tcW w:w="567" w:type="dxa"/>
          </w:tcPr>
          <w:p w:rsidR="006C66E7" w:rsidRPr="00DF5471" w:rsidRDefault="006C66E7" w:rsidP="00D81AD1">
            <w:pPr>
              <w:spacing w:before="0" w:after="0" w:line="600" w:lineRule="auto"/>
              <w:ind w:firstLine="0"/>
              <w:jc w:val="both"/>
              <w:rPr>
                <w:rFonts w:asciiTheme="majorBidi" w:hAnsiTheme="majorBidi" w:cstheme="majorBidi"/>
                <w:b/>
                <w:bCs/>
                <w:sz w:val="18"/>
                <w:szCs w:val="18"/>
              </w:rPr>
            </w:pPr>
            <w:r w:rsidRPr="00DF5471">
              <w:rPr>
                <w:rFonts w:asciiTheme="majorBidi" w:hAnsiTheme="majorBidi" w:cstheme="majorBidi"/>
                <w:b/>
                <w:bCs/>
                <w:sz w:val="18"/>
                <w:szCs w:val="18"/>
              </w:rPr>
              <w:t>Tg</w:t>
            </w:r>
          </w:p>
        </w:tc>
        <w:tc>
          <w:tcPr>
            <w:tcW w:w="709" w:type="dxa"/>
          </w:tcPr>
          <w:p w:rsidR="006C66E7" w:rsidRPr="00DF5471" w:rsidRDefault="006C66E7" w:rsidP="00D81AD1">
            <w:pPr>
              <w:spacing w:before="0" w:after="0" w:line="600" w:lineRule="auto"/>
              <w:ind w:firstLine="0"/>
              <w:jc w:val="both"/>
              <w:rPr>
                <w:rFonts w:asciiTheme="majorBidi" w:hAnsiTheme="majorBidi" w:cstheme="majorBidi"/>
                <w:b/>
                <w:bCs/>
                <w:sz w:val="18"/>
                <w:szCs w:val="18"/>
              </w:rPr>
            </w:pPr>
            <w:r w:rsidRPr="00DF5471">
              <w:rPr>
                <w:rFonts w:asciiTheme="majorBidi" w:hAnsiTheme="majorBidi" w:cstheme="majorBidi"/>
                <w:b/>
                <w:bCs/>
                <w:sz w:val="18"/>
                <w:szCs w:val="18"/>
              </w:rPr>
              <w:t>Tc</w:t>
            </w:r>
          </w:p>
        </w:tc>
        <w:tc>
          <w:tcPr>
            <w:tcW w:w="708" w:type="dxa"/>
          </w:tcPr>
          <w:p w:rsidR="006C66E7" w:rsidRPr="00DF5471" w:rsidRDefault="006C66E7" w:rsidP="00D81AD1">
            <w:pPr>
              <w:spacing w:before="0" w:after="0" w:line="600" w:lineRule="auto"/>
              <w:ind w:firstLine="0"/>
              <w:jc w:val="both"/>
              <w:rPr>
                <w:rFonts w:asciiTheme="majorBidi" w:hAnsiTheme="majorBidi" w:cstheme="majorBidi"/>
                <w:b/>
                <w:bCs/>
                <w:sz w:val="18"/>
                <w:szCs w:val="18"/>
              </w:rPr>
            </w:pPr>
            <w:r w:rsidRPr="00DF5471">
              <w:rPr>
                <w:rFonts w:asciiTheme="majorBidi" w:hAnsiTheme="majorBidi" w:cstheme="majorBidi"/>
                <w:b/>
                <w:bCs/>
                <w:sz w:val="18"/>
                <w:szCs w:val="18"/>
              </w:rPr>
              <w:t>µ max</w:t>
            </w:r>
          </w:p>
        </w:tc>
        <w:tc>
          <w:tcPr>
            <w:tcW w:w="567" w:type="dxa"/>
          </w:tcPr>
          <w:p w:rsidR="006C66E7" w:rsidRPr="00DF5471" w:rsidRDefault="006C66E7" w:rsidP="00D81AD1">
            <w:pPr>
              <w:spacing w:before="0" w:after="0" w:line="600" w:lineRule="auto"/>
              <w:ind w:firstLine="0"/>
              <w:jc w:val="both"/>
              <w:rPr>
                <w:rFonts w:asciiTheme="majorBidi" w:hAnsiTheme="majorBidi" w:cstheme="majorBidi"/>
                <w:b/>
                <w:bCs/>
                <w:sz w:val="18"/>
                <w:szCs w:val="18"/>
              </w:rPr>
            </w:pPr>
            <w:r w:rsidRPr="00DF5471">
              <w:rPr>
                <w:rFonts w:asciiTheme="majorBidi" w:hAnsiTheme="majorBidi" w:cstheme="majorBidi"/>
                <w:b/>
                <w:bCs/>
                <w:sz w:val="18"/>
                <w:szCs w:val="18"/>
              </w:rPr>
              <w:t>Tg</w:t>
            </w:r>
          </w:p>
        </w:tc>
        <w:tc>
          <w:tcPr>
            <w:tcW w:w="567" w:type="dxa"/>
          </w:tcPr>
          <w:p w:rsidR="006C66E7" w:rsidRPr="00DF5471" w:rsidRDefault="006C66E7" w:rsidP="00D81AD1">
            <w:pPr>
              <w:spacing w:before="0" w:after="0" w:line="600" w:lineRule="auto"/>
              <w:ind w:firstLine="0"/>
              <w:jc w:val="both"/>
              <w:rPr>
                <w:rFonts w:asciiTheme="majorBidi" w:hAnsiTheme="majorBidi" w:cstheme="majorBidi"/>
                <w:b/>
                <w:bCs/>
                <w:sz w:val="18"/>
                <w:szCs w:val="18"/>
              </w:rPr>
            </w:pPr>
            <w:r w:rsidRPr="00DF5471">
              <w:rPr>
                <w:rFonts w:asciiTheme="majorBidi" w:hAnsiTheme="majorBidi" w:cstheme="majorBidi"/>
                <w:b/>
                <w:bCs/>
                <w:sz w:val="18"/>
                <w:szCs w:val="18"/>
              </w:rPr>
              <w:t>Tc</w:t>
            </w:r>
          </w:p>
        </w:tc>
        <w:tc>
          <w:tcPr>
            <w:tcW w:w="709" w:type="dxa"/>
          </w:tcPr>
          <w:p w:rsidR="006C66E7" w:rsidRPr="00DF5471" w:rsidRDefault="006C66E7" w:rsidP="00D81AD1">
            <w:pPr>
              <w:spacing w:before="0" w:after="0" w:line="600" w:lineRule="auto"/>
              <w:ind w:firstLine="0"/>
              <w:jc w:val="both"/>
              <w:rPr>
                <w:rFonts w:asciiTheme="majorBidi" w:hAnsiTheme="majorBidi" w:cstheme="majorBidi"/>
                <w:b/>
                <w:bCs/>
                <w:sz w:val="18"/>
                <w:szCs w:val="18"/>
              </w:rPr>
            </w:pPr>
            <w:r w:rsidRPr="00DF5471">
              <w:rPr>
                <w:rFonts w:asciiTheme="majorBidi" w:hAnsiTheme="majorBidi" w:cstheme="majorBidi"/>
                <w:b/>
                <w:bCs/>
                <w:sz w:val="18"/>
                <w:szCs w:val="18"/>
              </w:rPr>
              <w:t>µ max</w:t>
            </w:r>
          </w:p>
        </w:tc>
        <w:tc>
          <w:tcPr>
            <w:tcW w:w="567" w:type="dxa"/>
          </w:tcPr>
          <w:p w:rsidR="006C66E7" w:rsidRPr="00DF5471" w:rsidRDefault="006C66E7" w:rsidP="00D81AD1">
            <w:pPr>
              <w:spacing w:before="0" w:after="0" w:line="600" w:lineRule="auto"/>
              <w:ind w:firstLine="0"/>
              <w:jc w:val="both"/>
              <w:rPr>
                <w:rFonts w:asciiTheme="majorBidi" w:hAnsiTheme="majorBidi" w:cstheme="majorBidi"/>
                <w:b/>
                <w:bCs/>
                <w:sz w:val="18"/>
                <w:szCs w:val="18"/>
              </w:rPr>
            </w:pPr>
            <w:r w:rsidRPr="00DF5471">
              <w:rPr>
                <w:rFonts w:asciiTheme="majorBidi" w:hAnsiTheme="majorBidi" w:cstheme="majorBidi"/>
                <w:b/>
                <w:bCs/>
                <w:sz w:val="18"/>
                <w:szCs w:val="18"/>
              </w:rPr>
              <w:t>Tg</w:t>
            </w:r>
          </w:p>
        </w:tc>
        <w:tc>
          <w:tcPr>
            <w:tcW w:w="567" w:type="dxa"/>
          </w:tcPr>
          <w:p w:rsidR="006C66E7" w:rsidRPr="00DF5471" w:rsidRDefault="006C66E7" w:rsidP="00D81AD1">
            <w:pPr>
              <w:spacing w:before="0" w:after="0" w:line="600" w:lineRule="auto"/>
              <w:ind w:firstLine="0"/>
              <w:jc w:val="both"/>
              <w:rPr>
                <w:rFonts w:asciiTheme="majorBidi" w:hAnsiTheme="majorBidi" w:cstheme="majorBidi"/>
                <w:b/>
                <w:bCs/>
                <w:sz w:val="18"/>
                <w:szCs w:val="18"/>
              </w:rPr>
            </w:pPr>
            <w:r w:rsidRPr="00DF5471">
              <w:rPr>
                <w:rFonts w:asciiTheme="majorBidi" w:hAnsiTheme="majorBidi" w:cstheme="majorBidi"/>
                <w:b/>
                <w:bCs/>
                <w:sz w:val="18"/>
                <w:szCs w:val="18"/>
              </w:rPr>
              <w:t>Tc</w:t>
            </w:r>
          </w:p>
        </w:tc>
        <w:tc>
          <w:tcPr>
            <w:tcW w:w="709" w:type="dxa"/>
          </w:tcPr>
          <w:p w:rsidR="006C66E7" w:rsidRPr="00DF5471" w:rsidRDefault="006C66E7" w:rsidP="00D81AD1">
            <w:pPr>
              <w:spacing w:before="0" w:after="0" w:line="600" w:lineRule="auto"/>
              <w:ind w:firstLine="0"/>
              <w:jc w:val="both"/>
              <w:rPr>
                <w:rFonts w:asciiTheme="majorBidi" w:hAnsiTheme="majorBidi" w:cstheme="majorBidi"/>
                <w:b/>
                <w:bCs/>
                <w:sz w:val="18"/>
                <w:szCs w:val="18"/>
              </w:rPr>
            </w:pPr>
            <w:r w:rsidRPr="00DF5471">
              <w:rPr>
                <w:rFonts w:asciiTheme="majorBidi" w:hAnsiTheme="majorBidi" w:cstheme="majorBidi"/>
                <w:b/>
                <w:bCs/>
                <w:sz w:val="18"/>
                <w:szCs w:val="18"/>
              </w:rPr>
              <w:t>µmax</w:t>
            </w:r>
          </w:p>
        </w:tc>
        <w:tc>
          <w:tcPr>
            <w:tcW w:w="567" w:type="dxa"/>
          </w:tcPr>
          <w:p w:rsidR="006C66E7" w:rsidRPr="00DF5471" w:rsidRDefault="006C66E7" w:rsidP="00D81AD1">
            <w:pPr>
              <w:spacing w:before="0" w:after="0" w:line="600" w:lineRule="auto"/>
              <w:ind w:firstLine="0"/>
              <w:jc w:val="both"/>
              <w:rPr>
                <w:rFonts w:asciiTheme="majorBidi" w:hAnsiTheme="majorBidi" w:cstheme="majorBidi"/>
                <w:b/>
                <w:bCs/>
                <w:sz w:val="18"/>
                <w:szCs w:val="18"/>
              </w:rPr>
            </w:pPr>
            <w:r w:rsidRPr="00DF5471">
              <w:rPr>
                <w:rFonts w:asciiTheme="majorBidi" w:hAnsiTheme="majorBidi" w:cstheme="majorBidi"/>
                <w:b/>
                <w:bCs/>
                <w:sz w:val="18"/>
                <w:szCs w:val="18"/>
              </w:rPr>
              <w:t>Tg</w:t>
            </w:r>
          </w:p>
        </w:tc>
        <w:tc>
          <w:tcPr>
            <w:tcW w:w="567" w:type="dxa"/>
          </w:tcPr>
          <w:p w:rsidR="006C66E7" w:rsidRPr="00DF5471" w:rsidRDefault="006C66E7" w:rsidP="00D81AD1">
            <w:pPr>
              <w:spacing w:before="0" w:after="0" w:line="600" w:lineRule="auto"/>
              <w:ind w:firstLine="0"/>
              <w:jc w:val="both"/>
              <w:rPr>
                <w:rFonts w:asciiTheme="majorBidi" w:hAnsiTheme="majorBidi" w:cstheme="majorBidi"/>
                <w:b/>
                <w:bCs/>
                <w:sz w:val="18"/>
                <w:szCs w:val="18"/>
              </w:rPr>
            </w:pPr>
            <w:r w:rsidRPr="00DF5471">
              <w:rPr>
                <w:rFonts w:asciiTheme="majorBidi" w:hAnsiTheme="majorBidi" w:cstheme="majorBidi"/>
                <w:b/>
                <w:bCs/>
                <w:sz w:val="18"/>
                <w:szCs w:val="18"/>
              </w:rPr>
              <w:t>Tc</w:t>
            </w:r>
          </w:p>
        </w:tc>
        <w:tc>
          <w:tcPr>
            <w:tcW w:w="709" w:type="dxa"/>
          </w:tcPr>
          <w:p w:rsidR="006C66E7" w:rsidRPr="00DF5471" w:rsidRDefault="006C66E7" w:rsidP="00D81AD1">
            <w:pPr>
              <w:spacing w:before="0" w:after="0" w:line="600" w:lineRule="auto"/>
              <w:ind w:firstLine="0"/>
              <w:jc w:val="both"/>
              <w:rPr>
                <w:rFonts w:asciiTheme="majorBidi" w:hAnsiTheme="majorBidi" w:cstheme="majorBidi"/>
                <w:b/>
                <w:bCs/>
                <w:sz w:val="18"/>
                <w:szCs w:val="18"/>
              </w:rPr>
            </w:pPr>
            <w:r w:rsidRPr="00DF5471">
              <w:rPr>
                <w:rFonts w:asciiTheme="majorBidi" w:hAnsiTheme="majorBidi" w:cstheme="majorBidi"/>
                <w:b/>
                <w:bCs/>
                <w:sz w:val="18"/>
                <w:szCs w:val="18"/>
              </w:rPr>
              <w:t>µ max</w:t>
            </w:r>
          </w:p>
        </w:tc>
        <w:tc>
          <w:tcPr>
            <w:tcW w:w="567" w:type="dxa"/>
          </w:tcPr>
          <w:p w:rsidR="006C66E7" w:rsidRPr="00DF5471" w:rsidRDefault="006C66E7" w:rsidP="00D81AD1">
            <w:pPr>
              <w:spacing w:before="0" w:after="0" w:line="600" w:lineRule="auto"/>
              <w:ind w:firstLine="0"/>
              <w:jc w:val="both"/>
              <w:rPr>
                <w:rFonts w:asciiTheme="majorBidi" w:hAnsiTheme="majorBidi" w:cstheme="majorBidi"/>
                <w:b/>
                <w:bCs/>
                <w:sz w:val="18"/>
                <w:szCs w:val="18"/>
              </w:rPr>
            </w:pPr>
            <w:r w:rsidRPr="00DF5471">
              <w:rPr>
                <w:rFonts w:asciiTheme="majorBidi" w:hAnsiTheme="majorBidi" w:cstheme="majorBidi"/>
                <w:b/>
                <w:bCs/>
                <w:sz w:val="18"/>
                <w:szCs w:val="18"/>
              </w:rPr>
              <w:t>Tg</w:t>
            </w:r>
          </w:p>
        </w:tc>
        <w:tc>
          <w:tcPr>
            <w:tcW w:w="567" w:type="dxa"/>
          </w:tcPr>
          <w:p w:rsidR="006C66E7" w:rsidRPr="00DF5471" w:rsidRDefault="006C66E7" w:rsidP="00D81AD1">
            <w:pPr>
              <w:spacing w:before="0" w:after="0" w:line="600" w:lineRule="auto"/>
              <w:ind w:firstLine="0"/>
              <w:jc w:val="both"/>
              <w:rPr>
                <w:rFonts w:asciiTheme="majorBidi" w:hAnsiTheme="majorBidi" w:cstheme="majorBidi"/>
                <w:b/>
                <w:bCs/>
                <w:sz w:val="18"/>
                <w:szCs w:val="18"/>
              </w:rPr>
            </w:pPr>
            <w:r w:rsidRPr="00DF5471">
              <w:rPr>
                <w:rFonts w:asciiTheme="majorBidi" w:hAnsiTheme="majorBidi" w:cstheme="majorBidi"/>
                <w:b/>
                <w:bCs/>
                <w:sz w:val="18"/>
                <w:szCs w:val="18"/>
              </w:rPr>
              <w:t>Tc</w:t>
            </w:r>
          </w:p>
        </w:tc>
      </w:tr>
      <w:tr w:rsidR="006C66E7" w:rsidRPr="000A2A0E" w:rsidTr="006C66E7">
        <w:tc>
          <w:tcPr>
            <w:tcW w:w="1985" w:type="dxa"/>
          </w:tcPr>
          <w:p w:rsidR="006C66E7" w:rsidRPr="000A2A0E" w:rsidRDefault="006C66E7" w:rsidP="00D81AD1">
            <w:pPr>
              <w:spacing w:before="0" w:after="0" w:line="600" w:lineRule="auto"/>
              <w:ind w:firstLine="0"/>
              <w:rPr>
                <w:rFonts w:asciiTheme="majorBidi" w:hAnsiTheme="majorBidi" w:cstheme="majorBidi"/>
                <w:sz w:val="16"/>
                <w:szCs w:val="16"/>
              </w:rPr>
            </w:pPr>
            <w:r w:rsidRPr="000A2A0E">
              <w:rPr>
                <w:rFonts w:asciiTheme="majorBidi" w:hAnsiTheme="majorBidi" w:cstheme="majorBidi"/>
                <w:b/>
                <w:bCs/>
                <w:sz w:val="16"/>
                <w:szCs w:val="16"/>
              </w:rPr>
              <w:t>BLR</w:t>
            </w:r>
            <w:r w:rsidRPr="000A2A0E">
              <w:rPr>
                <w:rFonts w:asciiTheme="majorBidi" w:hAnsiTheme="majorBidi" w:cstheme="majorBidi"/>
                <w:sz w:val="16"/>
                <w:szCs w:val="16"/>
              </w:rPr>
              <w:t>+St+Lb</w:t>
            </w:r>
            <w:r w:rsidRPr="000A2A0E">
              <w:rPr>
                <w:rFonts w:asciiTheme="majorBidi" w:hAnsiTheme="majorBidi" w:cstheme="majorBidi"/>
                <w:sz w:val="16"/>
                <w:szCs w:val="16"/>
                <w:vertAlign w:val="subscript"/>
              </w:rPr>
              <w:t>b</w:t>
            </w:r>
          </w:p>
        </w:tc>
        <w:tc>
          <w:tcPr>
            <w:tcW w:w="709"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0.55</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1.24</w:t>
            </w:r>
          </w:p>
        </w:tc>
        <w:tc>
          <w:tcPr>
            <w:tcW w:w="709"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6h52</w:t>
            </w:r>
          </w:p>
        </w:tc>
        <w:tc>
          <w:tcPr>
            <w:tcW w:w="708"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1.73</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0.39</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4h42</w:t>
            </w:r>
          </w:p>
        </w:tc>
        <w:tc>
          <w:tcPr>
            <w:tcW w:w="709"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0.84</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0.81</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5h21</w:t>
            </w:r>
          </w:p>
        </w:tc>
        <w:tc>
          <w:tcPr>
            <w:tcW w:w="709"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1.18</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0.58</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4h53</w:t>
            </w:r>
          </w:p>
        </w:tc>
        <w:tc>
          <w:tcPr>
            <w:tcW w:w="709"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1.46</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0.46</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4h44</w:t>
            </w:r>
          </w:p>
        </w:tc>
      </w:tr>
      <w:tr w:rsidR="006C66E7" w:rsidRPr="000A2A0E" w:rsidTr="006C66E7">
        <w:tc>
          <w:tcPr>
            <w:tcW w:w="1985" w:type="dxa"/>
          </w:tcPr>
          <w:p w:rsidR="006C66E7" w:rsidRPr="000A2A0E" w:rsidRDefault="006C66E7" w:rsidP="00D81AD1">
            <w:pPr>
              <w:spacing w:before="0" w:after="0" w:line="600" w:lineRule="auto"/>
              <w:ind w:firstLine="0"/>
              <w:rPr>
                <w:rFonts w:asciiTheme="majorBidi" w:hAnsiTheme="majorBidi" w:cstheme="majorBidi"/>
                <w:sz w:val="16"/>
                <w:szCs w:val="16"/>
              </w:rPr>
            </w:pPr>
            <w:r w:rsidRPr="000A2A0E">
              <w:rPr>
                <w:rFonts w:asciiTheme="majorBidi" w:hAnsiTheme="majorBidi" w:cstheme="majorBidi"/>
                <w:b/>
                <w:bCs/>
                <w:sz w:val="16"/>
                <w:szCs w:val="16"/>
              </w:rPr>
              <w:t xml:space="preserve">LbRE-LSAS </w:t>
            </w:r>
            <w:r w:rsidRPr="000A2A0E">
              <w:rPr>
                <w:rFonts w:asciiTheme="majorBidi" w:hAnsiTheme="majorBidi" w:cstheme="majorBidi"/>
                <w:sz w:val="16"/>
                <w:szCs w:val="16"/>
              </w:rPr>
              <w:t>+St+Lb</w:t>
            </w:r>
            <w:r w:rsidRPr="000A2A0E">
              <w:rPr>
                <w:rFonts w:asciiTheme="majorBidi" w:hAnsiTheme="majorBidi" w:cstheme="majorBidi"/>
                <w:sz w:val="16"/>
                <w:szCs w:val="16"/>
                <w:vertAlign w:val="subscript"/>
              </w:rPr>
              <w:t>b</w:t>
            </w:r>
          </w:p>
        </w:tc>
        <w:tc>
          <w:tcPr>
            <w:tcW w:w="709"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0.88</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0.78</w:t>
            </w:r>
          </w:p>
        </w:tc>
        <w:tc>
          <w:tcPr>
            <w:tcW w:w="709"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6h29</w:t>
            </w:r>
          </w:p>
        </w:tc>
        <w:tc>
          <w:tcPr>
            <w:tcW w:w="708"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1.69</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0.41</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4h21</w:t>
            </w:r>
          </w:p>
        </w:tc>
        <w:tc>
          <w:tcPr>
            <w:tcW w:w="709"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1.23</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0.56</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5h09</w:t>
            </w:r>
          </w:p>
        </w:tc>
        <w:tc>
          <w:tcPr>
            <w:tcW w:w="709"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1.57</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0.43</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4h39</w:t>
            </w:r>
          </w:p>
        </w:tc>
        <w:tc>
          <w:tcPr>
            <w:tcW w:w="709"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1.89</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0.35</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4h12</w:t>
            </w:r>
          </w:p>
        </w:tc>
      </w:tr>
      <w:tr w:rsidR="006C66E7" w:rsidRPr="000A2A0E" w:rsidTr="006C66E7">
        <w:tc>
          <w:tcPr>
            <w:tcW w:w="1985" w:type="dxa"/>
          </w:tcPr>
          <w:p w:rsidR="006C66E7" w:rsidRPr="000A2A0E" w:rsidRDefault="006C66E7" w:rsidP="00D81AD1">
            <w:pPr>
              <w:spacing w:before="0" w:after="0" w:line="600" w:lineRule="auto"/>
              <w:ind w:firstLine="0"/>
              <w:rPr>
                <w:rFonts w:asciiTheme="majorBidi" w:hAnsiTheme="majorBidi" w:cstheme="majorBidi"/>
                <w:sz w:val="16"/>
                <w:szCs w:val="16"/>
              </w:rPr>
            </w:pPr>
            <w:r w:rsidRPr="000A2A0E">
              <w:rPr>
                <w:rFonts w:asciiTheme="majorBidi" w:hAnsiTheme="majorBidi" w:cstheme="majorBidi"/>
                <w:b/>
                <w:bCs/>
                <w:sz w:val="16"/>
                <w:szCs w:val="16"/>
              </w:rPr>
              <w:t>Bb12</w:t>
            </w:r>
            <w:r w:rsidRPr="000A2A0E">
              <w:rPr>
                <w:rFonts w:asciiTheme="majorBidi" w:hAnsiTheme="majorBidi" w:cstheme="majorBidi"/>
                <w:sz w:val="16"/>
                <w:szCs w:val="16"/>
              </w:rPr>
              <w:t xml:space="preserve"> +St+Lb</w:t>
            </w:r>
            <w:r w:rsidRPr="000A2A0E">
              <w:rPr>
                <w:rFonts w:asciiTheme="majorBidi" w:hAnsiTheme="majorBidi" w:cstheme="majorBidi"/>
                <w:sz w:val="16"/>
                <w:szCs w:val="16"/>
                <w:vertAlign w:val="subscript"/>
              </w:rPr>
              <w:t>b</w:t>
            </w:r>
          </w:p>
        </w:tc>
        <w:tc>
          <w:tcPr>
            <w:tcW w:w="709"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0.67</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1.02</w:t>
            </w:r>
          </w:p>
        </w:tc>
        <w:tc>
          <w:tcPr>
            <w:tcW w:w="709"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6h36</w:t>
            </w:r>
          </w:p>
        </w:tc>
        <w:tc>
          <w:tcPr>
            <w:tcW w:w="708"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1.79</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0.38</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4h14</w:t>
            </w:r>
          </w:p>
        </w:tc>
        <w:tc>
          <w:tcPr>
            <w:tcW w:w="709"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0.75</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0.91</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5h35</w:t>
            </w:r>
          </w:p>
        </w:tc>
        <w:tc>
          <w:tcPr>
            <w:tcW w:w="709"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1.2</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0.57</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4h50</w:t>
            </w:r>
          </w:p>
        </w:tc>
        <w:tc>
          <w:tcPr>
            <w:tcW w:w="709"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1.5</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0.45</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4h36</w:t>
            </w:r>
          </w:p>
        </w:tc>
      </w:tr>
      <w:tr w:rsidR="006C66E7" w:rsidRPr="000A2A0E" w:rsidTr="006C66E7">
        <w:tc>
          <w:tcPr>
            <w:tcW w:w="1985" w:type="dxa"/>
          </w:tcPr>
          <w:p w:rsidR="006C66E7" w:rsidRPr="000A2A0E" w:rsidRDefault="006C66E7" w:rsidP="00D81AD1">
            <w:pPr>
              <w:spacing w:before="0" w:after="0" w:line="600" w:lineRule="auto"/>
              <w:ind w:firstLine="0"/>
              <w:rPr>
                <w:rFonts w:asciiTheme="majorBidi" w:hAnsiTheme="majorBidi" w:cstheme="majorBidi"/>
                <w:sz w:val="16"/>
                <w:szCs w:val="16"/>
              </w:rPr>
            </w:pPr>
            <w:r w:rsidRPr="000A2A0E">
              <w:rPr>
                <w:rFonts w:asciiTheme="majorBidi" w:hAnsiTheme="majorBidi" w:cstheme="majorBidi"/>
                <w:b/>
                <w:bCs/>
                <w:sz w:val="16"/>
                <w:szCs w:val="16"/>
              </w:rPr>
              <w:t>Lba CECT4529</w:t>
            </w:r>
            <w:r w:rsidRPr="000A2A0E">
              <w:rPr>
                <w:rFonts w:asciiTheme="majorBidi" w:hAnsiTheme="majorBidi" w:cstheme="majorBidi"/>
                <w:sz w:val="16"/>
                <w:szCs w:val="16"/>
              </w:rPr>
              <w:t xml:space="preserve"> +St+Lb</w:t>
            </w:r>
            <w:r w:rsidRPr="000A2A0E">
              <w:rPr>
                <w:rFonts w:asciiTheme="majorBidi" w:hAnsiTheme="majorBidi" w:cstheme="majorBidi"/>
                <w:sz w:val="16"/>
                <w:szCs w:val="16"/>
                <w:vertAlign w:val="subscript"/>
              </w:rPr>
              <w:t>b</w:t>
            </w:r>
          </w:p>
        </w:tc>
        <w:tc>
          <w:tcPr>
            <w:tcW w:w="709"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0.84</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0.81</w:t>
            </w:r>
          </w:p>
        </w:tc>
        <w:tc>
          <w:tcPr>
            <w:tcW w:w="709"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6h13</w:t>
            </w:r>
          </w:p>
        </w:tc>
        <w:tc>
          <w:tcPr>
            <w:tcW w:w="708"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2.03</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0.33</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4h06</w:t>
            </w:r>
          </w:p>
        </w:tc>
        <w:tc>
          <w:tcPr>
            <w:tcW w:w="709"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1.19</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0.57</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5h17</w:t>
            </w:r>
          </w:p>
        </w:tc>
        <w:tc>
          <w:tcPr>
            <w:tcW w:w="709"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1.76</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0.38</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4h23</w:t>
            </w:r>
          </w:p>
        </w:tc>
        <w:tc>
          <w:tcPr>
            <w:tcW w:w="709"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1.66</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0.41</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4h45</w:t>
            </w:r>
          </w:p>
        </w:tc>
      </w:tr>
      <w:tr w:rsidR="006C66E7" w:rsidRPr="000A2A0E" w:rsidTr="006C66E7">
        <w:tc>
          <w:tcPr>
            <w:tcW w:w="1985" w:type="dxa"/>
          </w:tcPr>
          <w:p w:rsidR="006C66E7" w:rsidRPr="000A2A0E" w:rsidRDefault="006C66E7" w:rsidP="00D81AD1">
            <w:pPr>
              <w:spacing w:before="0" w:after="0" w:line="600" w:lineRule="auto"/>
              <w:ind w:firstLine="0"/>
              <w:rPr>
                <w:rFonts w:asciiTheme="majorBidi" w:hAnsiTheme="majorBidi" w:cstheme="majorBidi"/>
                <w:sz w:val="16"/>
                <w:szCs w:val="16"/>
              </w:rPr>
            </w:pPr>
            <w:r w:rsidRPr="000A2A0E">
              <w:rPr>
                <w:rFonts w:asciiTheme="majorBidi" w:hAnsiTheme="majorBidi" w:cstheme="majorBidi"/>
                <w:b/>
                <w:bCs/>
                <w:sz w:val="16"/>
                <w:szCs w:val="16"/>
              </w:rPr>
              <w:t>Lbp CECT748</w:t>
            </w:r>
            <w:r w:rsidRPr="000A2A0E">
              <w:rPr>
                <w:rFonts w:asciiTheme="majorBidi" w:hAnsiTheme="majorBidi" w:cstheme="majorBidi"/>
                <w:sz w:val="16"/>
                <w:szCs w:val="16"/>
              </w:rPr>
              <w:t xml:space="preserve"> +St+Lb</w:t>
            </w:r>
            <w:r w:rsidRPr="000A2A0E">
              <w:rPr>
                <w:rFonts w:asciiTheme="majorBidi" w:hAnsiTheme="majorBidi" w:cstheme="majorBidi"/>
                <w:sz w:val="16"/>
                <w:szCs w:val="16"/>
                <w:vertAlign w:val="subscript"/>
              </w:rPr>
              <w:t>b</w:t>
            </w:r>
          </w:p>
        </w:tc>
        <w:tc>
          <w:tcPr>
            <w:tcW w:w="709"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0.58</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1.19</w:t>
            </w:r>
          </w:p>
        </w:tc>
        <w:tc>
          <w:tcPr>
            <w:tcW w:w="709"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6h36</w:t>
            </w:r>
          </w:p>
        </w:tc>
        <w:tc>
          <w:tcPr>
            <w:tcW w:w="708"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1.69</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0.4</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4h19</w:t>
            </w:r>
          </w:p>
        </w:tc>
        <w:tc>
          <w:tcPr>
            <w:tcW w:w="709"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0.82</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0.83</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5h26</w:t>
            </w:r>
          </w:p>
        </w:tc>
        <w:tc>
          <w:tcPr>
            <w:tcW w:w="709"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1.11</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0.61</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4h48</w:t>
            </w:r>
          </w:p>
        </w:tc>
        <w:tc>
          <w:tcPr>
            <w:tcW w:w="709"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1.28</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0.53</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4h38</w:t>
            </w:r>
          </w:p>
        </w:tc>
      </w:tr>
      <w:tr w:rsidR="006C66E7" w:rsidRPr="000A2A0E" w:rsidTr="006C66E7">
        <w:tc>
          <w:tcPr>
            <w:tcW w:w="1985" w:type="dxa"/>
          </w:tcPr>
          <w:p w:rsidR="006C66E7" w:rsidRPr="000A2A0E" w:rsidRDefault="006C66E7" w:rsidP="00D81AD1">
            <w:pPr>
              <w:spacing w:before="0" w:after="0" w:line="600" w:lineRule="auto"/>
              <w:ind w:firstLine="0"/>
              <w:rPr>
                <w:rFonts w:asciiTheme="majorBidi" w:hAnsiTheme="majorBidi" w:cstheme="majorBidi"/>
                <w:sz w:val="16"/>
                <w:szCs w:val="16"/>
              </w:rPr>
            </w:pPr>
            <w:r w:rsidRPr="000A2A0E">
              <w:rPr>
                <w:rFonts w:asciiTheme="majorBidi" w:hAnsiTheme="majorBidi" w:cstheme="majorBidi"/>
                <w:b/>
                <w:bCs/>
                <w:sz w:val="16"/>
                <w:szCs w:val="16"/>
              </w:rPr>
              <w:t>BLR</w:t>
            </w:r>
            <w:r w:rsidRPr="000A2A0E">
              <w:rPr>
                <w:rFonts w:asciiTheme="majorBidi" w:hAnsiTheme="majorBidi" w:cstheme="majorBidi"/>
                <w:sz w:val="16"/>
                <w:szCs w:val="16"/>
              </w:rPr>
              <w:t>+St</w:t>
            </w:r>
          </w:p>
        </w:tc>
        <w:tc>
          <w:tcPr>
            <w:tcW w:w="709"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0.37</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1.83</w:t>
            </w:r>
          </w:p>
        </w:tc>
        <w:tc>
          <w:tcPr>
            <w:tcW w:w="709"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7h11</w:t>
            </w:r>
          </w:p>
        </w:tc>
        <w:tc>
          <w:tcPr>
            <w:tcW w:w="708"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1.93</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0.35</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4h47</w:t>
            </w:r>
          </w:p>
        </w:tc>
        <w:tc>
          <w:tcPr>
            <w:tcW w:w="709"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0.75</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0.91</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5h42</w:t>
            </w:r>
          </w:p>
        </w:tc>
        <w:tc>
          <w:tcPr>
            <w:tcW w:w="709"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1.26</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0.54</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5h28</w:t>
            </w:r>
          </w:p>
        </w:tc>
        <w:tc>
          <w:tcPr>
            <w:tcW w:w="709"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1.53</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0.44</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5h05</w:t>
            </w:r>
          </w:p>
        </w:tc>
      </w:tr>
      <w:tr w:rsidR="006C66E7" w:rsidRPr="000A2A0E" w:rsidTr="006C66E7">
        <w:tc>
          <w:tcPr>
            <w:tcW w:w="1985" w:type="dxa"/>
          </w:tcPr>
          <w:p w:rsidR="006C66E7" w:rsidRPr="000A2A0E" w:rsidRDefault="006C66E7" w:rsidP="00D81AD1">
            <w:pPr>
              <w:spacing w:before="0" w:after="0" w:line="600" w:lineRule="auto"/>
              <w:ind w:firstLine="0"/>
              <w:rPr>
                <w:rFonts w:asciiTheme="majorBidi" w:hAnsiTheme="majorBidi" w:cstheme="majorBidi"/>
                <w:sz w:val="16"/>
                <w:szCs w:val="16"/>
              </w:rPr>
            </w:pPr>
            <w:r w:rsidRPr="000A2A0E">
              <w:rPr>
                <w:rFonts w:asciiTheme="majorBidi" w:hAnsiTheme="majorBidi" w:cstheme="majorBidi"/>
                <w:b/>
                <w:bCs/>
                <w:sz w:val="16"/>
                <w:szCs w:val="16"/>
              </w:rPr>
              <w:t xml:space="preserve">LbRE-LSAS </w:t>
            </w:r>
            <w:r w:rsidRPr="000A2A0E">
              <w:rPr>
                <w:rFonts w:asciiTheme="majorBidi" w:hAnsiTheme="majorBidi" w:cstheme="majorBidi"/>
                <w:sz w:val="16"/>
                <w:szCs w:val="16"/>
              </w:rPr>
              <w:t>+St</w:t>
            </w:r>
          </w:p>
        </w:tc>
        <w:tc>
          <w:tcPr>
            <w:tcW w:w="709"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1.04</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0.65</w:t>
            </w:r>
          </w:p>
        </w:tc>
        <w:tc>
          <w:tcPr>
            <w:tcW w:w="709"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6h09</w:t>
            </w:r>
          </w:p>
        </w:tc>
        <w:tc>
          <w:tcPr>
            <w:tcW w:w="708"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1.81</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0.37</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4h35</w:t>
            </w:r>
          </w:p>
        </w:tc>
        <w:tc>
          <w:tcPr>
            <w:tcW w:w="709"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1.21</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0.56</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5h27</w:t>
            </w:r>
          </w:p>
        </w:tc>
        <w:tc>
          <w:tcPr>
            <w:tcW w:w="709"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1.33</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0.51</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5h14</w:t>
            </w:r>
          </w:p>
        </w:tc>
        <w:tc>
          <w:tcPr>
            <w:tcW w:w="709"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1.75</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0.39</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4h43</w:t>
            </w:r>
          </w:p>
        </w:tc>
      </w:tr>
      <w:tr w:rsidR="006C66E7" w:rsidRPr="000A2A0E" w:rsidTr="006C66E7">
        <w:tc>
          <w:tcPr>
            <w:tcW w:w="1985" w:type="dxa"/>
          </w:tcPr>
          <w:p w:rsidR="006C66E7" w:rsidRPr="000A2A0E" w:rsidRDefault="006C66E7" w:rsidP="00D81AD1">
            <w:pPr>
              <w:spacing w:before="0" w:after="0" w:line="600" w:lineRule="auto"/>
              <w:ind w:firstLine="0"/>
              <w:rPr>
                <w:rFonts w:asciiTheme="majorBidi" w:hAnsiTheme="majorBidi" w:cstheme="majorBidi"/>
                <w:sz w:val="16"/>
                <w:szCs w:val="16"/>
              </w:rPr>
            </w:pPr>
            <w:r w:rsidRPr="000A2A0E">
              <w:rPr>
                <w:rFonts w:asciiTheme="majorBidi" w:hAnsiTheme="majorBidi" w:cstheme="majorBidi"/>
                <w:b/>
                <w:bCs/>
                <w:sz w:val="16"/>
                <w:szCs w:val="16"/>
              </w:rPr>
              <w:t>Bb12</w:t>
            </w:r>
            <w:r w:rsidRPr="000A2A0E">
              <w:rPr>
                <w:rFonts w:asciiTheme="majorBidi" w:hAnsiTheme="majorBidi" w:cstheme="majorBidi"/>
                <w:sz w:val="16"/>
                <w:szCs w:val="16"/>
              </w:rPr>
              <w:t xml:space="preserve"> +St</w:t>
            </w:r>
          </w:p>
        </w:tc>
        <w:tc>
          <w:tcPr>
            <w:tcW w:w="709"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0.7</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0.98</w:t>
            </w:r>
          </w:p>
        </w:tc>
        <w:tc>
          <w:tcPr>
            <w:tcW w:w="709"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6h54</w:t>
            </w:r>
          </w:p>
        </w:tc>
        <w:tc>
          <w:tcPr>
            <w:tcW w:w="708"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1.98</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0.34</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4h34</w:t>
            </w:r>
          </w:p>
        </w:tc>
        <w:tc>
          <w:tcPr>
            <w:tcW w:w="709"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1.14</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0.6</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5h51</w:t>
            </w:r>
          </w:p>
        </w:tc>
        <w:tc>
          <w:tcPr>
            <w:tcW w:w="709"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1.31</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0.52</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5h25</w:t>
            </w:r>
          </w:p>
        </w:tc>
        <w:tc>
          <w:tcPr>
            <w:tcW w:w="709"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1.3</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0.52</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5h15</w:t>
            </w:r>
          </w:p>
        </w:tc>
      </w:tr>
      <w:tr w:rsidR="006C66E7" w:rsidRPr="000A2A0E" w:rsidTr="006C66E7">
        <w:tc>
          <w:tcPr>
            <w:tcW w:w="1985" w:type="dxa"/>
          </w:tcPr>
          <w:p w:rsidR="006C66E7" w:rsidRPr="000A2A0E" w:rsidRDefault="006C66E7" w:rsidP="00D81AD1">
            <w:pPr>
              <w:spacing w:before="0" w:after="0" w:line="600" w:lineRule="auto"/>
              <w:ind w:firstLine="0"/>
              <w:rPr>
                <w:rFonts w:asciiTheme="majorBidi" w:hAnsiTheme="majorBidi" w:cstheme="majorBidi"/>
                <w:sz w:val="16"/>
                <w:szCs w:val="16"/>
              </w:rPr>
            </w:pPr>
            <w:r w:rsidRPr="000A2A0E">
              <w:rPr>
                <w:rFonts w:asciiTheme="majorBidi" w:hAnsiTheme="majorBidi" w:cstheme="majorBidi"/>
                <w:b/>
                <w:bCs/>
                <w:sz w:val="16"/>
                <w:szCs w:val="16"/>
              </w:rPr>
              <w:t>Lba CECT4529</w:t>
            </w:r>
            <w:r w:rsidRPr="000A2A0E">
              <w:rPr>
                <w:rFonts w:asciiTheme="majorBidi" w:hAnsiTheme="majorBidi" w:cstheme="majorBidi"/>
                <w:sz w:val="16"/>
                <w:szCs w:val="16"/>
              </w:rPr>
              <w:t xml:space="preserve"> +St</w:t>
            </w:r>
          </w:p>
        </w:tc>
        <w:tc>
          <w:tcPr>
            <w:tcW w:w="709"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0.89</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0.77</w:t>
            </w:r>
          </w:p>
        </w:tc>
        <w:tc>
          <w:tcPr>
            <w:tcW w:w="709"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6h31</w:t>
            </w:r>
          </w:p>
        </w:tc>
        <w:tc>
          <w:tcPr>
            <w:tcW w:w="708"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2.16</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0.31</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4h17</w:t>
            </w:r>
          </w:p>
        </w:tc>
        <w:tc>
          <w:tcPr>
            <w:tcW w:w="709"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1.19</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0.57</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5h15</w:t>
            </w:r>
          </w:p>
        </w:tc>
        <w:tc>
          <w:tcPr>
            <w:tcW w:w="709"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1.87</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0.36</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4h41</w:t>
            </w:r>
          </w:p>
        </w:tc>
        <w:tc>
          <w:tcPr>
            <w:tcW w:w="709"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1.77</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0.38</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4h53</w:t>
            </w:r>
          </w:p>
        </w:tc>
      </w:tr>
      <w:tr w:rsidR="006C66E7" w:rsidRPr="000A2A0E" w:rsidTr="006C66E7">
        <w:trPr>
          <w:trHeight w:val="294"/>
        </w:trPr>
        <w:tc>
          <w:tcPr>
            <w:tcW w:w="1985" w:type="dxa"/>
          </w:tcPr>
          <w:p w:rsidR="006C66E7" w:rsidRPr="000A2A0E" w:rsidRDefault="006C66E7" w:rsidP="00D81AD1">
            <w:pPr>
              <w:spacing w:before="0" w:after="0" w:line="600" w:lineRule="auto"/>
              <w:ind w:firstLine="0"/>
              <w:rPr>
                <w:rFonts w:asciiTheme="majorBidi" w:hAnsiTheme="majorBidi" w:cstheme="majorBidi"/>
                <w:sz w:val="16"/>
                <w:szCs w:val="16"/>
              </w:rPr>
            </w:pPr>
            <w:r w:rsidRPr="000A2A0E">
              <w:rPr>
                <w:rFonts w:asciiTheme="majorBidi" w:hAnsiTheme="majorBidi" w:cstheme="majorBidi"/>
                <w:b/>
                <w:bCs/>
                <w:sz w:val="16"/>
                <w:szCs w:val="16"/>
              </w:rPr>
              <w:t>Lbp CECT748</w:t>
            </w:r>
            <w:r w:rsidRPr="000A2A0E">
              <w:rPr>
                <w:rFonts w:asciiTheme="majorBidi" w:hAnsiTheme="majorBidi" w:cstheme="majorBidi"/>
                <w:sz w:val="16"/>
                <w:szCs w:val="16"/>
              </w:rPr>
              <w:t xml:space="preserve"> +St</w:t>
            </w:r>
          </w:p>
        </w:tc>
        <w:tc>
          <w:tcPr>
            <w:tcW w:w="709"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0.63</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1.08</w:t>
            </w:r>
          </w:p>
        </w:tc>
        <w:tc>
          <w:tcPr>
            <w:tcW w:w="709"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6h54</w:t>
            </w:r>
          </w:p>
        </w:tc>
        <w:tc>
          <w:tcPr>
            <w:tcW w:w="708"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1.8</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0.37</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4h38</w:t>
            </w:r>
          </w:p>
        </w:tc>
        <w:tc>
          <w:tcPr>
            <w:tcW w:w="709"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0.94</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0.72</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5h40</w:t>
            </w:r>
          </w:p>
        </w:tc>
        <w:tc>
          <w:tcPr>
            <w:tcW w:w="709"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1.32</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0.52</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4h51</w:t>
            </w:r>
          </w:p>
        </w:tc>
        <w:tc>
          <w:tcPr>
            <w:tcW w:w="709"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1.08</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0.63</w:t>
            </w:r>
          </w:p>
        </w:tc>
        <w:tc>
          <w:tcPr>
            <w:tcW w:w="567" w:type="dxa"/>
          </w:tcPr>
          <w:p w:rsidR="006C66E7" w:rsidRPr="000A2A0E" w:rsidRDefault="006C66E7" w:rsidP="00D81AD1">
            <w:pPr>
              <w:spacing w:before="0" w:after="0" w:line="600" w:lineRule="auto"/>
              <w:ind w:firstLine="0"/>
              <w:jc w:val="both"/>
              <w:rPr>
                <w:rFonts w:asciiTheme="majorBidi" w:hAnsiTheme="majorBidi" w:cstheme="majorBidi"/>
                <w:sz w:val="16"/>
                <w:szCs w:val="16"/>
              </w:rPr>
            </w:pPr>
            <w:r w:rsidRPr="000A2A0E">
              <w:rPr>
                <w:rFonts w:asciiTheme="majorBidi" w:hAnsiTheme="majorBidi" w:cstheme="majorBidi"/>
                <w:sz w:val="16"/>
                <w:szCs w:val="16"/>
              </w:rPr>
              <w:t>5h15</w:t>
            </w:r>
          </w:p>
        </w:tc>
      </w:tr>
    </w:tbl>
    <w:p w:rsidR="006C66E7" w:rsidRPr="00FB1C5F" w:rsidRDefault="006C66E7" w:rsidP="006C66E7">
      <w:pPr>
        <w:spacing w:before="0" w:after="0"/>
        <w:ind w:hanging="1275"/>
        <w:jc w:val="both"/>
      </w:pPr>
      <w:r w:rsidRPr="00FB1C5F">
        <w:t xml:space="preserve"> </w:t>
      </w:r>
    </w:p>
    <w:p w:rsidR="006C66E7"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Le lactosérum doux stimule à la fois la croissance des souches bénéfiques et celle de la bactérie lactique </w:t>
      </w:r>
      <w:r w:rsidRPr="0067253E">
        <w:rPr>
          <w:rFonts w:asciiTheme="majorBidi" w:hAnsiTheme="majorBidi" w:cstheme="majorBidi"/>
          <w:i/>
          <w:iCs/>
        </w:rPr>
        <w:t>Streptococcus</w:t>
      </w:r>
      <w:r w:rsidRPr="0067253E">
        <w:rPr>
          <w:rFonts w:asciiTheme="majorBidi" w:hAnsiTheme="majorBidi" w:cstheme="majorBidi"/>
        </w:rPr>
        <w:t xml:space="preserve"> </w:t>
      </w:r>
      <w:r w:rsidRPr="0067253E">
        <w:rPr>
          <w:rFonts w:asciiTheme="majorBidi" w:hAnsiTheme="majorBidi" w:cstheme="majorBidi"/>
          <w:i/>
          <w:iCs/>
        </w:rPr>
        <w:t>thermophilus</w:t>
      </w:r>
      <w:r w:rsidRPr="0067253E">
        <w:rPr>
          <w:rFonts w:asciiTheme="majorBidi" w:hAnsiTheme="majorBidi" w:cstheme="majorBidi"/>
        </w:rPr>
        <w:t>, et nous av</w:t>
      </w:r>
      <w:r>
        <w:rPr>
          <w:rFonts w:asciiTheme="majorBidi" w:hAnsiTheme="majorBidi" w:cstheme="majorBidi"/>
        </w:rPr>
        <w:t>o</w:t>
      </w:r>
      <w:r w:rsidRPr="0067253E">
        <w:rPr>
          <w:rFonts w:asciiTheme="majorBidi" w:hAnsiTheme="majorBidi" w:cstheme="majorBidi"/>
        </w:rPr>
        <w:t xml:space="preserve">nt remarqué des taux d’amélioration </w:t>
      </w:r>
      <w:r>
        <w:rPr>
          <w:rFonts w:asciiTheme="majorBidi" w:hAnsiTheme="majorBidi" w:cstheme="majorBidi"/>
        </w:rPr>
        <w:t>de la</w:t>
      </w:r>
      <w:r w:rsidRPr="0067253E">
        <w:rPr>
          <w:rFonts w:asciiTheme="majorBidi" w:hAnsiTheme="majorBidi" w:cstheme="majorBidi"/>
        </w:rPr>
        <w:t xml:space="preserve"> quantité de biomasse supérieurs à ceux observés avec les autres ingrédients protéiques laitiers.  </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Les quantités de la biomasse des souches bénéfiques enregistrées </w:t>
      </w:r>
      <w:r>
        <w:rPr>
          <w:rFonts w:asciiTheme="majorBidi" w:hAnsiTheme="majorBidi" w:cstheme="majorBidi"/>
        </w:rPr>
        <w:t>à la</w:t>
      </w:r>
      <w:r w:rsidRPr="0067253E">
        <w:rPr>
          <w:rFonts w:asciiTheme="majorBidi" w:hAnsiTheme="majorBidi" w:cstheme="majorBidi"/>
        </w:rPr>
        <w:t xml:space="preserve"> coagulation et en présence de Promilk 852A2, sont varia</w:t>
      </w:r>
      <w:r>
        <w:rPr>
          <w:rFonts w:asciiTheme="majorBidi" w:hAnsiTheme="majorBidi" w:cstheme="majorBidi"/>
        </w:rPr>
        <w:t>bles</w:t>
      </w:r>
      <w:r w:rsidRPr="0067253E">
        <w:rPr>
          <w:rFonts w:asciiTheme="majorBidi" w:hAnsiTheme="majorBidi" w:cstheme="majorBidi"/>
        </w:rPr>
        <w:t xml:space="preserve"> de 9.18 à 9.94 log UFC/ml (1.53 à 5.01% </w:t>
      </w:r>
      <w:r w:rsidRPr="0067253E">
        <w:rPr>
          <w:rFonts w:asciiTheme="majorBidi" w:hAnsiTheme="majorBidi" w:cstheme="majorBidi"/>
        </w:rPr>
        <w:lastRenderedPageBreak/>
        <w:t>d’amélioration par rapport au témoin) avec des vitesses spécifiques maximales de croissances de 0.75 à 1.21 h</w:t>
      </w:r>
      <w:r w:rsidRPr="0067253E">
        <w:rPr>
          <w:rFonts w:asciiTheme="majorBidi" w:hAnsiTheme="majorBidi" w:cstheme="majorBidi"/>
          <w:vertAlign w:val="superscript"/>
        </w:rPr>
        <w:t>-1</w:t>
      </w:r>
      <w:r w:rsidRPr="0067253E">
        <w:rPr>
          <w:rFonts w:asciiTheme="majorBidi" w:hAnsiTheme="majorBidi" w:cstheme="majorBidi"/>
        </w:rPr>
        <w:t xml:space="preserve"> et temps de génération de 0.56 à 0.91 h. </w:t>
      </w:r>
    </w:p>
    <w:p w:rsidR="006C66E7" w:rsidRPr="0067253E"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i/>
          <w:iCs/>
        </w:rPr>
        <w:t>Streptococcus</w:t>
      </w:r>
      <w:r w:rsidRPr="0067253E">
        <w:rPr>
          <w:rFonts w:asciiTheme="majorBidi" w:hAnsiTheme="majorBidi" w:cstheme="majorBidi"/>
        </w:rPr>
        <w:t xml:space="preserve"> </w:t>
      </w:r>
      <w:r w:rsidRPr="0067253E">
        <w:rPr>
          <w:rFonts w:asciiTheme="majorBidi" w:hAnsiTheme="majorBidi" w:cstheme="majorBidi"/>
          <w:i/>
          <w:iCs/>
        </w:rPr>
        <w:t>thermophilus</w:t>
      </w:r>
      <w:r w:rsidRPr="0067253E">
        <w:rPr>
          <w:rFonts w:asciiTheme="majorBidi" w:hAnsiTheme="majorBidi" w:cstheme="majorBidi"/>
        </w:rPr>
        <w:t xml:space="preserve"> affiche une biomasse </w:t>
      </w:r>
      <w:r>
        <w:rPr>
          <w:rFonts w:asciiTheme="majorBidi" w:hAnsiTheme="majorBidi" w:cstheme="majorBidi"/>
        </w:rPr>
        <w:t>comprise entre 8.81 et</w:t>
      </w:r>
      <w:r w:rsidRPr="0067253E">
        <w:rPr>
          <w:rFonts w:asciiTheme="majorBidi" w:hAnsiTheme="majorBidi" w:cstheme="majorBidi"/>
        </w:rPr>
        <w:t xml:space="preserve"> 9.03 log UFC/ml pour (1.18 à 9.05% d’amélioration par rapport au témoin) avec des vitesses spécifiques maximales de croissances de 0.97 à 1.33 h</w:t>
      </w:r>
      <w:r w:rsidRPr="0067253E">
        <w:rPr>
          <w:rFonts w:asciiTheme="majorBidi" w:hAnsiTheme="majorBidi" w:cstheme="majorBidi"/>
          <w:vertAlign w:val="superscript"/>
        </w:rPr>
        <w:t>-1</w:t>
      </w:r>
      <w:r w:rsidRPr="0067253E">
        <w:rPr>
          <w:rFonts w:asciiTheme="majorBidi" w:hAnsiTheme="majorBidi" w:cstheme="majorBidi"/>
        </w:rPr>
        <w:t xml:space="preserve"> et </w:t>
      </w:r>
      <w:r>
        <w:rPr>
          <w:rFonts w:asciiTheme="majorBidi" w:hAnsiTheme="majorBidi" w:cstheme="majorBidi"/>
        </w:rPr>
        <w:t xml:space="preserve">des </w:t>
      </w:r>
      <w:r w:rsidRPr="0067253E">
        <w:rPr>
          <w:rFonts w:asciiTheme="majorBidi" w:hAnsiTheme="majorBidi" w:cstheme="majorBidi"/>
        </w:rPr>
        <w:t>temps de génération de 0.51 à 0.7 h.</w:t>
      </w:r>
    </w:p>
    <w:p w:rsidR="006C66E7" w:rsidRPr="0067253E" w:rsidRDefault="006C66E7" w:rsidP="006C66E7">
      <w:pPr>
        <w:spacing w:before="0" w:after="0" w:line="360" w:lineRule="auto"/>
        <w:ind w:firstLine="360"/>
        <w:contextualSpacing/>
        <w:jc w:val="both"/>
        <w:rPr>
          <w:rFonts w:asciiTheme="majorBidi" w:hAnsiTheme="majorBidi" w:cstheme="majorBidi"/>
        </w:rPr>
      </w:pPr>
      <w:r>
        <w:rPr>
          <w:rFonts w:asciiTheme="majorBidi" w:hAnsiTheme="majorBidi" w:cstheme="majorBidi"/>
        </w:rPr>
        <w:t xml:space="preserve">L’utilisation de l’ingrédients </w:t>
      </w:r>
      <w:r w:rsidRPr="0067253E">
        <w:rPr>
          <w:rFonts w:asciiTheme="majorBidi" w:hAnsiTheme="majorBidi" w:cstheme="majorBidi"/>
        </w:rPr>
        <w:t xml:space="preserve">le Promilk C502 dans le lait fermenté, </w:t>
      </w:r>
      <w:r>
        <w:rPr>
          <w:rFonts w:asciiTheme="majorBidi" w:hAnsiTheme="majorBidi" w:cstheme="majorBidi"/>
        </w:rPr>
        <w:t xml:space="preserve">améliore significativement </w:t>
      </w:r>
      <w:r w:rsidRPr="0067253E">
        <w:rPr>
          <w:rFonts w:asciiTheme="majorBidi" w:hAnsiTheme="majorBidi" w:cstheme="majorBidi"/>
        </w:rPr>
        <w:t xml:space="preserve">(P&lt;0.05) la croissance des souches bénéfiques BLR, LbRE-LSAS, Bb12, Lba CECT4529 et Lbp CECT748 </w:t>
      </w:r>
      <w:r>
        <w:rPr>
          <w:rFonts w:asciiTheme="majorBidi" w:hAnsiTheme="majorBidi" w:cstheme="majorBidi"/>
        </w:rPr>
        <w:t xml:space="preserve">qui accumulent une biomasse de l’ordre de </w:t>
      </w:r>
      <w:r w:rsidRPr="0067253E">
        <w:rPr>
          <w:rFonts w:asciiTheme="majorBidi" w:hAnsiTheme="majorBidi" w:cstheme="majorBidi"/>
        </w:rPr>
        <w:t xml:space="preserve">10.28, 10.18, 10.05, 10.4 et 9.72 log UFC/ml </w:t>
      </w:r>
      <w:r>
        <w:rPr>
          <w:rFonts w:asciiTheme="majorBidi" w:hAnsiTheme="majorBidi" w:cstheme="majorBidi"/>
        </w:rPr>
        <w:t xml:space="preserve">soit une </w:t>
      </w:r>
      <w:r w:rsidRPr="0067253E">
        <w:rPr>
          <w:rFonts w:asciiTheme="majorBidi" w:hAnsiTheme="majorBidi" w:cstheme="majorBidi"/>
        </w:rPr>
        <w:t xml:space="preserve">amélioration </w:t>
      </w:r>
      <w:r>
        <w:rPr>
          <w:rFonts w:asciiTheme="majorBidi" w:hAnsiTheme="majorBidi" w:cstheme="majorBidi"/>
        </w:rPr>
        <w:t xml:space="preserve">variable de </w:t>
      </w:r>
      <w:r w:rsidRPr="0067253E">
        <w:rPr>
          <w:rFonts w:asciiTheme="majorBidi" w:hAnsiTheme="majorBidi" w:cstheme="majorBidi"/>
        </w:rPr>
        <w:t>3.98 à 16.15% (0.39 à 1.43 log</w:t>
      </w:r>
      <w:r>
        <w:rPr>
          <w:rFonts w:asciiTheme="majorBidi" w:hAnsiTheme="majorBidi" w:cstheme="majorBidi"/>
        </w:rPr>
        <w:t>)</w:t>
      </w:r>
      <w:r w:rsidRPr="0067253E">
        <w:rPr>
          <w:rFonts w:asciiTheme="majorBidi" w:hAnsiTheme="majorBidi" w:cstheme="majorBidi"/>
        </w:rPr>
        <w:t xml:space="preserve"> par rapport au témoin. </w:t>
      </w:r>
      <w:r>
        <w:rPr>
          <w:rFonts w:asciiTheme="majorBidi" w:hAnsiTheme="majorBidi" w:cstheme="majorBidi"/>
        </w:rPr>
        <w:t xml:space="preserve">Cette biomasse est générée par </w:t>
      </w:r>
      <w:r w:rsidRPr="0067253E">
        <w:rPr>
          <w:rFonts w:asciiTheme="majorBidi" w:hAnsiTheme="majorBidi" w:cstheme="majorBidi"/>
        </w:rPr>
        <w:t xml:space="preserve">des vitesses spécifiques maximales de croissance </w:t>
      </w:r>
      <w:r>
        <w:rPr>
          <w:rFonts w:asciiTheme="majorBidi" w:hAnsiTheme="majorBidi" w:cstheme="majorBidi"/>
        </w:rPr>
        <w:t>comprises entre</w:t>
      </w:r>
      <w:r w:rsidRPr="0067253E">
        <w:rPr>
          <w:rFonts w:asciiTheme="majorBidi" w:hAnsiTheme="majorBidi" w:cstheme="majorBidi"/>
        </w:rPr>
        <w:t xml:space="preserve"> 1.08 à 1.77 h</w:t>
      </w:r>
      <w:r w:rsidRPr="0067253E">
        <w:rPr>
          <w:rFonts w:asciiTheme="majorBidi" w:hAnsiTheme="majorBidi" w:cstheme="majorBidi"/>
          <w:vertAlign w:val="superscript"/>
        </w:rPr>
        <w:t>-1</w:t>
      </w:r>
      <w:r w:rsidRPr="0067253E">
        <w:rPr>
          <w:rFonts w:asciiTheme="majorBidi" w:hAnsiTheme="majorBidi" w:cstheme="majorBidi"/>
        </w:rPr>
        <w:t xml:space="preserve"> et un temps de génération </w:t>
      </w:r>
      <w:r>
        <w:rPr>
          <w:rFonts w:asciiTheme="majorBidi" w:hAnsiTheme="majorBidi" w:cstheme="majorBidi"/>
        </w:rPr>
        <w:t>variable de</w:t>
      </w:r>
      <w:r w:rsidRPr="0067253E">
        <w:rPr>
          <w:rFonts w:asciiTheme="majorBidi" w:hAnsiTheme="majorBidi" w:cstheme="majorBidi"/>
        </w:rPr>
        <w:t xml:space="preserve"> 0.38 à 0.63 h.</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Pr="0067253E" w:rsidRDefault="006C66E7" w:rsidP="006C66E7">
      <w:pPr>
        <w:spacing w:before="0" w:after="0" w:line="360" w:lineRule="auto"/>
        <w:ind w:firstLine="360"/>
        <w:contextualSpacing/>
        <w:jc w:val="both"/>
        <w:rPr>
          <w:rFonts w:asciiTheme="majorBidi" w:hAnsiTheme="majorBidi" w:cstheme="majorBidi"/>
        </w:rPr>
      </w:pPr>
      <w:r>
        <w:rPr>
          <w:rFonts w:asciiTheme="majorBidi" w:hAnsiTheme="majorBidi" w:cstheme="majorBidi"/>
        </w:rPr>
        <w:t xml:space="preserve">La biomasse streptococcique est légèrement plus importante en </w:t>
      </w:r>
      <w:r w:rsidRPr="0067253E">
        <w:rPr>
          <w:rFonts w:asciiTheme="majorBidi" w:hAnsiTheme="majorBidi" w:cstheme="majorBidi"/>
        </w:rPr>
        <w:t>présence de Promilk C502 (</w:t>
      </w:r>
      <w:r>
        <w:rPr>
          <w:rFonts w:asciiTheme="majorBidi" w:hAnsiTheme="majorBidi" w:cstheme="majorBidi"/>
        </w:rPr>
        <w:t xml:space="preserve">comprise entre </w:t>
      </w:r>
      <w:r w:rsidRPr="0067253E">
        <w:rPr>
          <w:rFonts w:asciiTheme="majorBidi" w:hAnsiTheme="majorBidi" w:cstheme="majorBidi"/>
        </w:rPr>
        <w:t>9.29 à 9.71 logUFC/ml) qu</w:t>
      </w:r>
      <w:r>
        <w:rPr>
          <w:rFonts w:asciiTheme="majorBidi" w:hAnsiTheme="majorBidi" w:cstheme="majorBidi"/>
        </w:rPr>
        <w:t>’</w:t>
      </w:r>
      <w:r w:rsidRPr="0067253E">
        <w:rPr>
          <w:rFonts w:asciiTheme="majorBidi" w:hAnsiTheme="majorBidi" w:cstheme="majorBidi"/>
        </w:rPr>
        <w:t>e</w:t>
      </w:r>
      <w:r>
        <w:rPr>
          <w:rFonts w:asciiTheme="majorBidi" w:hAnsiTheme="majorBidi" w:cstheme="majorBidi"/>
        </w:rPr>
        <w:t xml:space="preserve">n présence de </w:t>
      </w:r>
      <w:r w:rsidRPr="0067253E">
        <w:rPr>
          <w:rFonts w:asciiTheme="majorBidi" w:hAnsiTheme="majorBidi" w:cstheme="majorBidi"/>
        </w:rPr>
        <w:t>l’hydrolysat de caséine</w:t>
      </w:r>
      <w:r>
        <w:rPr>
          <w:rFonts w:asciiTheme="majorBidi" w:hAnsiTheme="majorBidi" w:cstheme="majorBidi"/>
        </w:rPr>
        <w:t>s</w:t>
      </w:r>
      <w:r w:rsidRPr="0067253E">
        <w:rPr>
          <w:rFonts w:asciiTheme="majorBidi" w:hAnsiTheme="majorBidi" w:cstheme="majorBidi"/>
        </w:rPr>
        <w:t xml:space="preserve"> (</w:t>
      </w:r>
      <w:r>
        <w:rPr>
          <w:rFonts w:asciiTheme="majorBidi" w:hAnsiTheme="majorBidi" w:cstheme="majorBidi"/>
        </w:rPr>
        <w:t xml:space="preserve">comprise entre </w:t>
      </w:r>
      <w:r w:rsidRPr="0067253E">
        <w:rPr>
          <w:rFonts w:asciiTheme="majorBidi" w:hAnsiTheme="majorBidi" w:cstheme="majorBidi"/>
        </w:rPr>
        <w:t>8.8 à 9.13 log UFC/ml). Le temps de fermentation a été réduit (P&lt;0.05) plus de 1h 26 min comparativement au témoin.</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Pr="0067253E" w:rsidRDefault="006C66E7" w:rsidP="006C66E7">
      <w:pPr>
        <w:spacing w:before="0" w:after="0" w:line="360" w:lineRule="auto"/>
        <w:ind w:firstLine="360"/>
        <w:contextualSpacing/>
        <w:jc w:val="both"/>
        <w:rPr>
          <w:rFonts w:asciiTheme="majorBidi" w:hAnsiTheme="majorBidi" w:cstheme="majorBidi"/>
        </w:rPr>
      </w:pPr>
      <w:r>
        <w:rPr>
          <w:rFonts w:asciiTheme="majorBidi" w:hAnsiTheme="majorBidi" w:cstheme="majorBidi"/>
        </w:rPr>
        <w:t>U</w:t>
      </w:r>
      <w:r w:rsidRPr="0067253E">
        <w:rPr>
          <w:rFonts w:asciiTheme="majorBidi" w:hAnsiTheme="majorBidi" w:cstheme="majorBidi"/>
        </w:rPr>
        <w:t>ne augmentation comprise entre 0.29 à 1.05 unités logarithmiques par rapport au témoin</w:t>
      </w:r>
      <w:r>
        <w:rPr>
          <w:rFonts w:asciiTheme="majorBidi" w:hAnsiTheme="majorBidi" w:cstheme="majorBidi"/>
        </w:rPr>
        <w:t xml:space="preserve"> a été enregistrée à la coagulation du lait (pH 5) additionné d’hydrolysats de caséines par les souches bénéfiques</w:t>
      </w:r>
      <w:r w:rsidRPr="0067253E">
        <w:rPr>
          <w:rFonts w:asciiTheme="majorBidi" w:hAnsiTheme="majorBidi" w:cstheme="majorBidi"/>
        </w:rPr>
        <w:t>.</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Pr="0067253E"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color w:val="0000FF"/>
        </w:rPr>
        <w:t>Sodini et al. (2002)</w:t>
      </w:r>
      <w:r w:rsidRPr="0067253E">
        <w:rPr>
          <w:rFonts w:asciiTheme="majorBidi" w:hAnsiTheme="majorBidi" w:cstheme="majorBidi"/>
        </w:rPr>
        <w:t xml:space="preserve"> ont montré que le temps de fermentation de la culture mixte entre les deux bactéries lactiques et une souche bénéfique en présence des différents ingrédients protéiques laitiers est réduit par rapport à la culture mixte entre </w:t>
      </w:r>
      <w:r w:rsidRPr="0067253E">
        <w:rPr>
          <w:rFonts w:asciiTheme="majorBidi" w:hAnsiTheme="majorBidi" w:cstheme="majorBidi"/>
          <w:i/>
          <w:iCs/>
        </w:rPr>
        <w:t>Streptococcus</w:t>
      </w:r>
      <w:r w:rsidRPr="0067253E">
        <w:rPr>
          <w:rFonts w:asciiTheme="majorBidi" w:hAnsiTheme="majorBidi" w:cstheme="majorBidi"/>
        </w:rPr>
        <w:t xml:space="preserve"> </w:t>
      </w:r>
      <w:r w:rsidRPr="0067253E">
        <w:rPr>
          <w:rFonts w:asciiTheme="majorBidi" w:hAnsiTheme="majorBidi" w:cstheme="majorBidi"/>
          <w:i/>
          <w:iCs/>
        </w:rPr>
        <w:t>thermophilus</w:t>
      </w:r>
      <w:r w:rsidRPr="0067253E">
        <w:rPr>
          <w:rFonts w:asciiTheme="majorBidi" w:hAnsiTheme="majorBidi" w:cstheme="majorBidi"/>
        </w:rPr>
        <w:t xml:space="preserve"> et une souche bénéfique.</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Pr="0067253E"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Selon </w:t>
      </w:r>
      <w:r w:rsidRPr="0067253E">
        <w:rPr>
          <w:rFonts w:asciiTheme="majorBidi" w:hAnsiTheme="majorBidi" w:cstheme="majorBidi"/>
          <w:color w:val="0000FF"/>
        </w:rPr>
        <w:t>Reinheiner et al. (2002)</w:t>
      </w:r>
      <w:r w:rsidRPr="0067253E">
        <w:rPr>
          <w:rFonts w:asciiTheme="majorBidi" w:hAnsiTheme="majorBidi" w:cstheme="majorBidi"/>
        </w:rPr>
        <w:t xml:space="preserve">, </w:t>
      </w:r>
      <w:r w:rsidRPr="0067253E">
        <w:rPr>
          <w:rFonts w:asciiTheme="majorBidi" w:hAnsiTheme="majorBidi" w:cstheme="majorBidi"/>
          <w:i/>
          <w:iCs/>
        </w:rPr>
        <w:t>Streptococcus</w:t>
      </w:r>
      <w:r w:rsidRPr="0067253E">
        <w:rPr>
          <w:rFonts w:asciiTheme="majorBidi" w:hAnsiTheme="majorBidi" w:cstheme="majorBidi"/>
        </w:rPr>
        <w:t xml:space="preserve"> </w:t>
      </w:r>
      <w:r w:rsidRPr="0067253E">
        <w:rPr>
          <w:rFonts w:asciiTheme="majorBidi" w:hAnsiTheme="majorBidi" w:cstheme="majorBidi"/>
          <w:i/>
          <w:iCs/>
        </w:rPr>
        <w:t>thermophilus</w:t>
      </w:r>
      <w:r w:rsidRPr="0067253E">
        <w:rPr>
          <w:rFonts w:asciiTheme="majorBidi" w:hAnsiTheme="majorBidi" w:cstheme="majorBidi"/>
        </w:rPr>
        <w:t xml:space="preserve"> et </w:t>
      </w:r>
      <w:r w:rsidRPr="0067253E">
        <w:rPr>
          <w:rFonts w:asciiTheme="majorBidi" w:hAnsiTheme="majorBidi" w:cstheme="majorBidi"/>
          <w:i/>
          <w:iCs/>
        </w:rPr>
        <w:t>Lactobacillus</w:t>
      </w:r>
      <w:r w:rsidRPr="0067253E">
        <w:rPr>
          <w:rFonts w:asciiTheme="majorBidi" w:hAnsiTheme="majorBidi" w:cstheme="majorBidi"/>
        </w:rPr>
        <w:t xml:space="preserve"> </w:t>
      </w:r>
      <w:r w:rsidRPr="0067253E">
        <w:rPr>
          <w:rFonts w:asciiTheme="majorBidi" w:hAnsiTheme="majorBidi" w:cstheme="majorBidi"/>
          <w:i/>
          <w:iCs/>
        </w:rPr>
        <w:t>lactis</w:t>
      </w:r>
      <w:r w:rsidRPr="0067253E">
        <w:rPr>
          <w:rFonts w:asciiTheme="majorBidi" w:hAnsiTheme="majorBidi" w:cstheme="majorBidi"/>
        </w:rPr>
        <w:t xml:space="preserve"> sont faiblement inhibées par les bactéries bénéfiques, par contre l’effet contraire n’a pas été observé.</w:t>
      </w:r>
    </w:p>
    <w:p w:rsidR="006C66E7" w:rsidRPr="0067253E"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Les bactéries lactiques du yaourt possèdent une quantité plus élevée des acides aminés et une grande activité aminopeptidase et dipeptidyl-aminopeptidase que les bactéries </w:t>
      </w:r>
      <w:r w:rsidRPr="0067253E">
        <w:rPr>
          <w:rFonts w:asciiTheme="majorBidi" w:hAnsiTheme="majorBidi" w:cstheme="majorBidi"/>
        </w:rPr>
        <w:lastRenderedPageBreak/>
        <w:t xml:space="preserve">bénéfiques. En conséquence, les ferments lactiques se développent plus rapidement dans le lait, tandis que les bactéries bénéfiques poussent lentement en raison de la faible activité protéolytique, elles ont besoin d’une offre exogène de peptides et d’acides aminés pour une croissance optimale, et en particulier les cultures qui ne contiennent pas </w:t>
      </w:r>
      <w:r w:rsidRPr="0067253E">
        <w:rPr>
          <w:rFonts w:asciiTheme="majorBidi" w:hAnsiTheme="majorBidi" w:cstheme="majorBidi"/>
          <w:i/>
          <w:iCs/>
        </w:rPr>
        <w:t>Lactobacillus</w:t>
      </w:r>
      <w:r w:rsidRPr="0067253E">
        <w:rPr>
          <w:rFonts w:asciiTheme="majorBidi" w:hAnsiTheme="majorBidi" w:cstheme="majorBidi"/>
        </w:rPr>
        <w:t xml:space="preserve"> </w:t>
      </w:r>
      <w:r w:rsidRPr="0067253E">
        <w:rPr>
          <w:rFonts w:asciiTheme="majorBidi" w:hAnsiTheme="majorBidi" w:cstheme="majorBidi"/>
          <w:i/>
          <w:iCs/>
        </w:rPr>
        <w:t>delbruekii</w:t>
      </w:r>
      <w:r w:rsidRPr="0067253E">
        <w:rPr>
          <w:rFonts w:asciiTheme="majorBidi" w:hAnsiTheme="majorBidi" w:cstheme="majorBidi"/>
        </w:rPr>
        <w:t xml:space="preserve"> ssp </w:t>
      </w:r>
      <w:r w:rsidRPr="0067253E">
        <w:rPr>
          <w:rFonts w:asciiTheme="majorBidi" w:hAnsiTheme="majorBidi" w:cstheme="majorBidi"/>
          <w:i/>
          <w:iCs/>
        </w:rPr>
        <w:t>bulgaricus</w:t>
      </w:r>
      <w:r w:rsidRPr="0067253E">
        <w:rPr>
          <w:rFonts w:asciiTheme="majorBidi" w:hAnsiTheme="majorBidi" w:cstheme="majorBidi"/>
        </w:rPr>
        <w:t xml:space="preserve"> </w:t>
      </w:r>
      <w:r w:rsidRPr="0067253E">
        <w:rPr>
          <w:rFonts w:asciiTheme="majorBidi" w:hAnsiTheme="majorBidi" w:cstheme="majorBidi"/>
          <w:color w:val="0000FF"/>
        </w:rPr>
        <w:t>(Shihata et Shah, 2000)</w:t>
      </w:r>
      <w:r w:rsidRPr="0067253E">
        <w:rPr>
          <w:rFonts w:asciiTheme="majorBidi" w:hAnsiTheme="majorBidi" w:cstheme="majorBidi"/>
        </w:rPr>
        <w:t>.</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Pr="0067253E"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  Le lactosérum en poudre, </w:t>
      </w:r>
      <w:r>
        <w:rPr>
          <w:rFonts w:asciiTheme="majorBidi" w:hAnsiTheme="majorBidi" w:cstheme="majorBidi"/>
        </w:rPr>
        <w:t xml:space="preserve">le </w:t>
      </w:r>
      <w:r w:rsidRPr="0067253E">
        <w:rPr>
          <w:rFonts w:asciiTheme="majorBidi" w:hAnsiTheme="majorBidi" w:cstheme="majorBidi"/>
        </w:rPr>
        <w:t>concentré de protéine</w:t>
      </w:r>
      <w:r>
        <w:rPr>
          <w:rFonts w:asciiTheme="majorBidi" w:hAnsiTheme="majorBidi" w:cstheme="majorBidi"/>
        </w:rPr>
        <w:t>s</w:t>
      </w:r>
      <w:r w:rsidRPr="0067253E">
        <w:rPr>
          <w:rFonts w:asciiTheme="majorBidi" w:hAnsiTheme="majorBidi" w:cstheme="majorBidi"/>
        </w:rPr>
        <w:t xml:space="preserve"> du lactosérum, l’hydrolysat </w:t>
      </w:r>
      <w:r>
        <w:rPr>
          <w:rFonts w:asciiTheme="majorBidi" w:hAnsiTheme="majorBidi" w:cstheme="majorBidi"/>
        </w:rPr>
        <w:t xml:space="preserve">acide </w:t>
      </w:r>
      <w:r w:rsidRPr="0067253E">
        <w:rPr>
          <w:rFonts w:asciiTheme="majorBidi" w:hAnsiTheme="majorBidi" w:cstheme="majorBidi"/>
        </w:rPr>
        <w:t>de caséine</w:t>
      </w:r>
      <w:r>
        <w:rPr>
          <w:rFonts w:asciiTheme="majorBidi" w:hAnsiTheme="majorBidi" w:cstheme="majorBidi"/>
        </w:rPr>
        <w:t>s</w:t>
      </w:r>
      <w:r w:rsidRPr="0067253E">
        <w:rPr>
          <w:rFonts w:asciiTheme="majorBidi" w:hAnsiTheme="majorBidi" w:cstheme="majorBidi"/>
        </w:rPr>
        <w:t xml:space="preserve"> ou tryptone stimulent la croissance de la masse Streptococcique (8.95 à 9.23 log UFC/ml) avec un taux d’amélioration de 3.11 à 6.33% par rapport au témoin </w:t>
      </w:r>
      <w:r w:rsidRPr="0067253E">
        <w:rPr>
          <w:rFonts w:asciiTheme="majorBidi" w:hAnsiTheme="majorBidi" w:cstheme="majorBidi"/>
          <w:color w:val="0000FF"/>
        </w:rPr>
        <w:t>(Dave et Shah, 1998)</w:t>
      </w:r>
      <w:r w:rsidRPr="0067253E">
        <w:rPr>
          <w:rFonts w:asciiTheme="majorBidi" w:hAnsiTheme="majorBidi" w:cstheme="majorBidi"/>
        </w:rPr>
        <w:t>. Ainsi</w:t>
      </w:r>
      <w:r>
        <w:rPr>
          <w:rFonts w:asciiTheme="majorBidi" w:hAnsiTheme="majorBidi" w:cstheme="majorBidi"/>
        </w:rPr>
        <w:t>, ces auteurs</w:t>
      </w:r>
      <w:r w:rsidRPr="0067253E">
        <w:rPr>
          <w:rFonts w:asciiTheme="majorBidi" w:hAnsiTheme="majorBidi" w:cstheme="majorBidi"/>
        </w:rPr>
        <w:t xml:space="preserve"> ont observé que l’ad</w:t>
      </w:r>
      <w:r>
        <w:rPr>
          <w:rFonts w:asciiTheme="majorBidi" w:hAnsiTheme="majorBidi" w:cstheme="majorBidi"/>
        </w:rPr>
        <w:t>dition</w:t>
      </w:r>
      <w:r w:rsidRPr="0067253E">
        <w:rPr>
          <w:rFonts w:asciiTheme="majorBidi" w:hAnsiTheme="majorBidi" w:cstheme="majorBidi"/>
        </w:rPr>
        <w:t xml:space="preserve"> de 500 mg/l de L-cystéine </w:t>
      </w:r>
      <w:r>
        <w:rPr>
          <w:rFonts w:asciiTheme="majorBidi" w:hAnsiTheme="majorBidi" w:cstheme="majorBidi"/>
        </w:rPr>
        <w:t xml:space="preserve">améliore </w:t>
      </w:r>
      <w:r w:rsidRPr="0067253E">
        <w:rPr>
          <w:rFonts w:asciiTheme="majorBidi" w:hAnsiTheme="majorBidi" w:cstheme="majorBidi"/>
        </w:rPr>
        <w:t xml:space="preserve">la croissance de </w:t>
      </w:r>
      <w:r w:rsidRPr="0067253E">
        <w:rPr>
          <w:rFonts w:asciiTheme="majorBidi" w:hAnsiTheme="majorBidi" w:cstheme="majorBidi"/>
          <w:i/>
          <w:iCs/>
        </w:rPr>
        <w:t>Lactobacillus</w:t>
      </w:r>
      <w:r w:rsidRPr="0067253E">
        <w:rPr>
          <w:rFonts w:asciiTheme="majorBidi" w:hAnsiTheme="majorBidi" w:cstheme="majorBidi"/>
        </w:rPr>
        <w:t xml:space="preserve"> </w:t>
      </w:r>
      <w:r w:rsidRPr="0067253E">
        <w:rPr>
          <w:rFonts w:asciiTheme="majorBidi" w:hAnsiTheme="majorBidi" w:cstheme="majorBidi"/>
          <w:i/>
          <w:iCs/>
        </w:rPr>
        <w:t>acidophilus</w:t>
      </w:r>
      <w:r w:rsidRPr="0067253E">
        <w:rPr>
          <w:rFonts w:asciiTheme="majorBidi" w:hAnsiTheme="majorBidi" w:cstheme="majorBidi"/>
        </w:rPr>
        <w:t xml:space="preserve"> </w:t>
      </w:r>
      <w:r>
        <w:rPr>
          <w:rFonts w:asciiTheme="majorBidi" w:hAnsiTheme="majorBidi" w:cstheme="majorBidi"/>
        </w:rPr>
        <w:t xml:space="preserve">de 2.1%. </w:t>
      </w:r>
      <w:r w:rsidRPr="0067253E">
        <w:rPr>
          <w:rFonts w:asciiTheme="majorBidi" w:hAnsiTheme="majorBidi" w:cstheme="majorBidi"/>
        </w:rPr>
        <w:t xml:space="preserve">et de </w:t>
      </w:r>
      <w:r w:rsidRPr="0067253E">
        <w:rPr>
          <w:rFonts w:asciiTheme="majorBidi" w:hAnsiTheme="majorBidi" w:cstheme="majorBidi"/>
          <w:i/>
          <w:iCs/>
        </w:rPr>
        <w:t>Bifidobacterium</w:t>
      </w:r>
      <w:r w:rsidRPr="0067253E">
        <w:rPr>
          <w:rFonts w:asciiTheme="majorBidi" w:hAnsiTheme="majorBidi" w:cstheme="majorBidi"/>
        </w:rPr>
        <w:t xml:space="preserve"> ssp </w:t>
      </w:r>
      <w:r>
        <w:rPr>
          <w:rFonts w:asciiTheme="majorBidi" w:hAnsiTheme="majorBidi" w:cstheme="majorBidi"/>
        </w:rPr>
        <w:t>de 3.8% par rapport au témoin</w:t>
      </w:r>
      <w:r w:rsidRPr="0067253E">
        <w:rPr>
          <w:rFonts w:asciiTheme="majorBidi" w:hAnsiTheme="majorBidi" w:cstheme="majorBidi"/>
        </w:rPr>
        <w:t xml:space="preserve"> dans un lait fermenté par </w:t>
      </w:r>
      <w:r>
        <w:rPr>
          <w:rFonts w:asciiTheme="majorBidi" w:hAnsiTheme="majorBidi" w:cstheme="majorBidi"/>
        </w:rPr>
        <w:t xml:space="preserve">le mélange de souches </w:t>
      </w:r>
      <w:r w:rsidRPr="0067253E">
        <w:rPr>
          <w:rFonts w:asciiTheme="majorBidi" w:hAnsiTheme="majorBidi" w:cstheme="majorBidi"/>
        </w:rPr>
        <w:t>ABT (</w:t>
      </w:r>
      <w:r w:rsidRPr="0067253E">
        <w:rPr>
          <w:rFonts w:asciiTheme="majorBidi" w:hAnsiTheme="majorBidi" w:cstheme="majorBidi"/>
          <w:i/>
          <w:iCs/>
        </w:rPr>
        <w:t>Lactobacillus</w:t>
      </w:r>
      <w:r w:rsidRPr="0067253E">
        <w:rPr>
          <w:rFonts w:asciiTheme="majorBidi" w:hAnsiTheme="majorBidi" w:cstheme="majorBidi"/>
        </w:rPr>
        <w:t xml:space="preserve"> </w:t>
      </w:r>
      <w:r>
        <w:rPr>
          <w:rFonts w:asciiTheme="majorBidi" w:hAnsiTheme="majorBidi" w:cstheme="majorBidi"/>
          <w:i/>
          <w:iCs/>
        </w:rPr>
        <w:t>acidophil</w:t>
      </w:r>
      <w:r w:rsidRPr="0067253E">
        <w:rPr>
          <w:rFonts w:asciiTheme="majorBidi" w:hAnsiTheme="majorBidi" w:cstheme="majorBidi"/>
          <w:i/>
          <w:iCs/>
        </w:rPr>
        <w:t>us</w:t>
      </w:r>
      <w:r w:rsidRPr="0067253E">
        <w:rPr>
          <w:rFonts w:asciiTheme="majorBidi" w:hAnsiTheme="majorBidi" w:cstheme="majorBidi"/>
        </w:rPr>
        <w:t xml:space="preserve">, </w:t>
      </w:r>
      <w:r w:rsidRPr="0067253E">
        <w:rPr>
          <w:rFonts w:asciiTheme="majorBidi" w:hAnsiTheme="majorBidi" w:cstheme="majorBidi"/>
          <w:i/>
          <w:iCs/>
        </w:rPr>
        <w:t>Streptococcus</w:t>
      </w:r>
      <w:r w:rsidRPr="0067253E">
        <w:rPr>
          <w:rFonts w:asciiTheme="majorBidi" w:hAnsiTheme="majorBidi" w:cstheme="majorBidi"/>
        </w:rPr>
        <w:t xml:space="preserve"> </w:t>
      </w:r>
      <w:r w:rsidRPr="0067253E">
        <w:rPr>
          <w:rFonts w:asciiTheme="majorBidi" w:hAnsiTheme="majorBidi" w:cstheme="majorBidi"/>
          <w:i/>
          <w:iCs/>
        </w:rPr>
        <w:t>thermophilus</w:t>
      </w:r>
      <w:r w:rsidRPr="0067253E">
        <w:rPr>
          <w:rFonts w:asciiTheme="majorBidi" w:hAnsiTheme="majorBidi" w:cstheme="majorBidi"/>
        </w:rPr>
        <w:t xml:space="preserve"> et </w:t>
      </w:r>
      <w:r w:rsidRPr="0067253E">
        <w:rPr>
          <w:rFonts w:asciiTheme="majorBidi" w:hAnsiTheme="majorBidi" w:cstheme="majorBidi"/>
          <w:i/>
          <w:iCs/>
        </w:rPr>
        <w:t>Bifidobacterium</w:t>
      </w:r>
      <w:r w:rsidRPr="0067253E">
        <w:rPr>
          <w:rFonts w:asciiTheme="majorBidi" w:hAnsiTheme="majorBidi" w:cstheme="majorBidi"/>
        </w:rPr>
        <w:t xml:space="preserve"> </w:t>
      </w:r>
      <w:r w:rsidRPr="0067253E">
        <w:rPr>
          <w:rFonts w:asciiTheme="majorBidi" w:hAnsiTheme="majorBidi" w:cstheme="majorBidi"/>
          <w:i/>
          <w:iCs/>
        </w:rPr>
        <w:t>ssp</w:t>
      </w:r>
      <w:r w:rsidRPr="0067253E">
        <w:rPr>
          <w:rFonts w:asciiTheme="majorBidi" w:hAnsiTheme="majorBidi" w:cstheme="majorBidi"/>
        </w:rPr>
        <w:t>) en présence de 250 mg/l de tryptone.</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Pr="0067253E"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La souche Lba CECT4529 a montré la meilleure croissance symbiotique </w:t>
      </w:r>
      <w:r w:rsidRPr="009C7870">
        <w:rPr>
          <w:rFonts w:asciiTheme="majorBidi" w:hAnsiTheme="majorBidi" w:cstheme="majorBidi"/>
          <w:color w:val="3333FF"/>
        </w:rPr>
        <w:t>(figure 2  D)</w:t>
      </w:r>
      <w:r>
        <w:rPr>
          <w:rFonts w:asciiTheme="majorBidi" w:hAnsiTheme="majorBidi" w:cstheme="majorBidi"/>
        </w:rPr>
        <w:t xml:space="preserve"> </w:t>
      </w:r>
      <w:r w:rsidRPr="0067253E">
        <w:rPr>
          <w:rFonts w:asciiTheme="majorBidi" w:hAnsiTheme="majorBidi" w:cstheme="majorBidi"/>
        </w:rPr>
        <w:t xml:space="preserve">(10.62 log UFC/ml) avec </w:t>
      </w:r>
      <w:r w:rsidRPr="0067253E">
        <w:rPr>
          <w:rFonts w:asciiTheme="majorBidi" w:hAnsiTheme="majorBidi" w:cstheme="majorBidi"/>
          <w:i/>
          <w:iCs/>
        </w:rPr>
        <w:t>Streptococcus</w:t>
      </w:r>
      <w:r w:rsidRPr="0067253E">
        <w:rPr>
          <w:rFonts w:asciiTheme="majorBidi" w:hAnsiTheme="majorBidi" w:cstheme="majorBidi"/>
        </w:rPr>
        <w:t xml:space="preserve"> </w:t>
      </w:r>
      <w:r w:rsidRPr="0067253E">
        <w:rPr>
          <w:rFonts w:asciiTheme="majorBidi" w:hAnsiTheme="majorBidi" w:cstheme="majorBidi"/>
          <w:i/>
          <w:iCs/>
        </w:rPr>
        <w:t>thermophilus</w:t>
      </w:r>
      <w:r w:rsidRPr="0067253E">
        <w:rPr>
          <w:rFonts w:asciiTheme="majorBidi" w:hAnsiTheme="majorBidi" w:cstheme="majorBidi"/>
        </w:rPr>
        <w:t xml:space="preserve"> accumulant des quantités de biomasse importantes (P&lt;0.05) par rapport aux autres souches bénéfiques étudiées.</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Pr="0067253E" w:rsidRDefault="006C66E7" w:rsidP="006C66E7">
      <w:pPr>
        <w:spacing w:before="0" w:after="0" w:line="360" w:lineRule="auto"/>
        <w:ind w:firstLine="360"/>
        <w:contextualSpacing/>
        <w:jc w:val="both"/>
        <w:rPr>
          <w:rFonts w:asciiTheme="majorBidi" w:hAnsiTheme="majorBidi" w:cstheme="majorBidi"/>
        </w:rPr>
      </w:pPr>
      <w:r w:rsidRPr="00346066">
        <w:rPr>
          <w:rFonts w:asciiTheme="majorBidi" w:hAnsiTheme="majorBidi" w:cstheme="majorBidi"/>
          <w:color w:val="3333FF"/>
        </w:rPr>
        <w:t>Sodini et al. (2002)</w:t>
      </w:r>
      <w:r w:rsidRPr="0067253E">
        <w:rPr>
          <w:rFonts w:asciiTheme="majorBidi" w:hAnsiTheme="majorBidi" w:cstheme="majorBidi"/>
        </w:rPr>
        <w:t xml:space="preserve"> ont montré que l’addition de Promilk C500, Promilk C502, </w:t>
      </w:r>
      <w:r>
        <w:rPr>
          <w:rFonts w:asciiTheme="majorBidi" w:hAnsiTheme="majorBidi" w:cstheme="majorBidi"/>
        </w:rPr>
        <w:t>d’</w:t>
      </w:r>
      <w:r w:rsidRPr="0067253E">
        <w:rPr>
          <w:rFonts w:asciiTheme="majorBidi" w:hAnsiTheme="majorBidi" w:cstheme="majorBidi"/>
        </w:rPr>
        <w:t>hudrolysat de caséine</w:t>
      </w:r>
      <w:r>
        <w:rPr>
          <w:rFonts w:asciiTheme="majorBidi" w:hAnsiTheme="majorBidi" w:cstheme="majorBidi"/>
        </w:rPr>
        <w:t>s</w:t>
      </w:r>
      <w:r w:rsidRPr="0067253E">
        <w:rPr>
          <w:rFonts w:asciiTheme="majorBidi" w:hAnsiTheme="majorBidi" w:cstheme="majorBidi"/>
        </w:rPr>
        <w:t xml:space="preserve"> CH1 ou CH2 améliore respectivement la croissance de </w:t>
      </w:r>
      <w:r w:rsidRPr="0067253E">
        <w:rPr>
          <w:rFonts w:asciiTheme="majorBidi" w:hAnsiTheme="majorBidi" w:cstheme="majorBidi"/>
          <w:i/>
          <w:iCs/>
        </w:rPr>
        <w:t>Lactobacillus</w:t>
      </w:r>
      <w:r w:rsidRPr="0067253E">
        <w:rPr>
          <w:rFonts w:asciiTheme="majorBidi" w:hAnsiTheme="majorBidi" w:cstheme="majorBidi"/>
        </w:rPr>
        <w:t xml:space="preserve"> </w:t>
      </w:r>
      <w:r w:rsidRPr="0067253E">
        <w:rPr>
          <w:rFonts w:asciiTheme="majorBidi" w:hAnsiTheme="majorBidi" w:cstheme="majorBidi"/>
          <w:i/>
          <w:iCs/>
        </w:rPr>
        <w:t>acidophilus</w:t>
      </w:r>
      <w:r w:rsidRPr="0067253E">
        <w:rPr>
          <w:rFonts w:asciiTheme="majorBidi" w:hAnsiTheme="majorBidi" w:cstheme="majorBidi"/>
        </w:rPr>
        <w:t xml:space="preserve"> LA5 de 3.79, 7.18, 18.29 et 10.7% par rapport au témoin. </w:t>
      </w:r>
      <w:r>
        <w:rPr>
          <w:rFonts w:asciiTheme="majorBidi" w:hAnsiTheme="majorBidi" w:cstheme="majorBidi"/>
        </w:rPr>
        <w:t>Alors</w:t>
      </w:r>
      <w:r w:rsidRPr="0067253E">
        <w:rPr>
          <w:rFonts w:asciiTheme="majorBidi" w:hAnsiTheme="majorBidi" w:cstheme="majorBidi"/>
        </w:rPr>
        <w:t xml:space="preserve"> que l’hydrolysat de caséine CH2 a un effet négatif sur la croissance de </w:t>
      </w:r>
      <w:r w:rsidRPr="0067253E">
        <w:rPr>
          <w:rFonts w:asciiTheme="majorBidi" w:hAnsiTheme="majorBidi" w:cstheme="majorBidi"/>
          <w:i/>
          <w:iCs/>
        </w:rPr>
        <w:t>Lactobacillus</w:t>
      </w:r>
      <w:r w:rsidRPr="0067253E">
        <w:rPr>
          <w:rFonts w:asciiTheme="majorBidi" w:hAnsiTheme="majorBidi" w:cstheme="majorBidi"/>
        </w:rPr>
        <w:t xml:space="preserve"> </w:t>
      </w:r>
      <w:r w:rsidRPr="0067253E">
        <w:rPr>
          <w:rFonts w:asciiTheme="majorBidi" w:hAnsiTheme="majorBidi" w:cstheme="majorBidi"/>
          <w:i/>
          <w:iCs/>
        </w:rPr>
        <w:t>rhamnosus</w:t>
      </w:r>
      <w:r w:rsidRPr="0067253E">
        <w:rPr>
          <w:rFonts w:asciiTheme="majorBidi" w:hAnsiTheme="majorBidi" w:cstheme="majorBidi"/>
        </w:rPr>
        <w:t xml:space="preserve"> LR35 (une perte de </w:t>
      </w:r>
      <w:r>
        <w:rPr>
          <w:rFonts w:asciiTheme="majorBidi" w:hAnsiTheme="majorBidi" w:cstheme="majorBidi"/>
        </w:rPr>
        <w:t>0.65 log par rapport au témoin),</w:t>
      </w:r>
      <w:r w:rsidRPr="0067253E">
        <w:rPr>
          <w:rFonts w:asciiTheme="majorBidi" w:hAnsiTheme="majorBidi" w:cstheme="majorBidi"/>
        </w:rPr>
        <w:t xml:space="preserve"> le Promilk C502 améliore cette dernière souche de 5.54% par rapport au témoin.</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Pr="0067253E" w:rsidRDefault="006C66E7" w:rsidP="006C66E7">
      <w:pPr>
        <w:spacing w:before="0" w:after="0" w:line="360" w:lineRule="auto"/>
        <w:ind w:firstLine="360"/>
        <w:contextualSpacing/>
        <w:jc w:val="both"/>
        <w:rPr>
          <w:rFonts w:asciiTheme="majorBidi" w:hAnsiTheme="majorBidi" w:cstheme="majorBidi"/>
          <w:b/>
          <w:bCs/>
        </w:rPr>
      </w:pPr>
      <w:r w:rsidRPr="0067253E">
        <w:rPr>
          <w:rFonts w:asciiTheme="majorBidi" w:hAnsiTheme="majorBidi" w:cstheme="majorBidi"/>
          <w:b/>
          <w:bCs/>
        </w:rPr>
        <w:t>V.1.1.2. Cinétique d’acidification</w:t>
      </w:r>
      <w:r>
        <w:rPr>
          <w:rFonts w:asciiTheme="majorBidi" w:hAnsiTheme="majorBidi" w:cstheme="majorBidi"/>
          <w:b/>
          <w:bCs/>
        </w:rPr>
        <w:t>.</w:t>
      </w:r>
    </w:p>
    <w:p w:rsidR="006C66E7" w:rsidRPr="0067253E" w:rsidRDefault="006C66E7" w:rsidP="006C66E7">
      <w:pPr>
        <w:spacing w:before="0" w:after="0" w:line="360" w:lineRule="auto"/>
        <w:ind w:firstLine="360"/>
        <w:contextualSpacing/>
        <w:jc w:val="both"/>
        <w:rPr>
          <w:rFonts w:asciiTheme="majorBidi" w:hAnsiTheme="majorBidi" w:cstheme="majorBidi"/>
          <w:b/>
          <w:bCs/>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Toutes les cultures ou fermentations sont stoppées volontairement à un pH voisin de 5 par refroidissement rapide du lait fermenté.</w:t>
      </w:r>
    </w:p>
    <w:p w:rsidR="006C66E7" w:rsidRPr="0067253E"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En absence d’ingrédients protéiques laitiers (témoin), la vitesse spécifique maximale d’acidification des cultures mixtes est de l’ordre de 0.23, 0.28, 0.27, 0.26 et 0.28 h</w:t>
      </w:r>
      <w:r w:rsidRPr="0067253E">
        <w:rPr>
          <w:rFonts w:asciiTheme="majorBidi" w:hAnsiTheme="majorBidi" w:cstheme="majorBidi"/>
          <w:vertAlign w:val="superscript"/>
        </w:rPr>
        <w:t>-1</w:t>
      </w:r>
      <w:r w:rsidRPr="0067253E">
        <w:rPr>
          <w:rFonts w:asciiTheme="majorBidi" w:hAnsiTheme="majorBidi" w:cstheme="majorBidi"/>
        </w:rPr>
        <w:t xml:space="preserve">, avec un temps de fermentation de l’ordre de 7h11, 6h09, 6h54, 6h31 et 6h54 notés </w:t>
      </w:r>
      <w:r w:rsidRPr="0067253E">
        <w:rPr>
          <w:rFonts w:asciiTheme="majorBidi" w:hAnsiTheme="majorBidi" w:cstheme="majorBidi"/>
        </w:rPr>
        <w:lastRenderedPageBreak/>
        <w:t>respectivement pour les souches bénéfiques BLR, LbRE-LSAS, Bb12, Lba CECT4529 et Lbp CECT748</w:t>
      </w:r>
      <w:r>
        <w:rPr>
          <w:rFonts w:asciiTheme="majorBidi" w:hAnsiTheme="majorBidi" w:cstheme="majorBidi"/>
        </w:rPr>
        <w:t xml:space="preserve"> </w:t>
      </w:r>
      <w:r w:rsidRPr="002F10BA">
        <w:rPr>
          <w:rFonts w:asciiTheme="majorBidi" w:hAnsiTheme="majorBidi" w:cstheme="majorBidi"/>
          <w:color w:val="0000FF"/>
        </w:rPr>
        <w:t>(Tableau 1</w:t>
      </w:r>
      <w:r>
        <w:rPr>
          <w:rFonts w:asciiTheme="majorBidi" w:hAnsiTheme="majorBidi" w:cstheme="majorBidi"/>
          <w:color w:val="0000FF"/>
        </w:rPr>
        <w:t>5</w:t>
      </w:r>
      <w:r w:rsidRPr="002F10BA">
        <w:rPr>
          <w:rFonts w:asciiTheme="majorBidi" w:hAnsiTheme="majorBidi" w:cstheme="majorBidi"/>
          <w:color w:val="0000FF"/>
        </w:rPr>
        <w:t>)</w:t>
      </w:r>
      <w:r w:rsidRPr="0067253E">
        <w:rPr>
          <w:rFonts w:asciiTheme="majorBidi" w:hAnsiTheme="majorBidi" w:cstheme="majorBidi"/>
        </w:rPr>
        <w:t>.</w:t>
      </w:r>
    </w:p>
    <w:p w:rsidR="006C66E7" w:rsidRPr="0067253E"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Les cinq souches bénéfiques étudiées en présence de lactosérum doux ont enregistré une vitesse spécifique maximale d’acidification qui varie </w:t>
      </w:r>
      <w:r>
        <w:rPr>
          <w:rFonts w:asciiTheme="majorBidi" w:hAnsiTheme="majorBidi" w:cstheme="majorBidi"/>
        </w:rPr>
        <w:t>de</w:t>
      </w:r>
      <w:r w:rsidRPr="0067253E">
        <w:rPr>
          <w:rFonts w:asciiTheme="majorBidi" w:hAnsiTheme="majorBidi" w:cstheme="majorBidi"/>
        </w:rPr>
        <w:t xml:space="preserve"> 0.3 à 0.35 h</w:t>
      </w:r>
      <w:r w:rsidRPr="0067253E">
        <w:rPr>
          <w:rFonts w:asciiTheme="majorBidi" w:hAnsiTheme="majorBidi" w:cstheme="majorBidi"/>
          <w:vertAlign w:val="superscript"/>
        </w:rPr>
        <w:t>-1</w:t>
      </w:r>
      <w:r w:rsidRPr="0067253E">
        <w:rPr>
          <w:rFonts w:asciiTheme="majorBidi" w:hAnsiTheme="majorBidi" w:cstheme="majorBidi"/>
        </w:rPr>
        <w:t xml:space="preserve"> avec un taux d’amélioration de 25 à 30.43% par rapport au témoin et une diminution du temps de fermentation de 1h34 à 2h24 par rapport au témoin</w:t>
      </w:r>
      <w:r>
        <w:rPr>
          <w:rFonts w:asciiTheme="majorBidi" w:hAnsiTheme="majorBidi" w:cstheme="majorBidi"/>
        </w:rPr>
        <w:t xml:space="preserve"> </w:t>
      </w:r>
      <w:r w:rsidRPr="009274B0">
        <w:rPr>
          <w:rFonts w:asciiTheme="majorBidi" w:hAnsiTheme="majorBidi" w:cstheme="majorBidi"/>
          <w:color w:val="0000FF"/>
        </w:rPr>
        <w:t>(figure 4)</w:t>
      </w:r>
      <w:r w:rsidRPr="0067253E">
        <w:rPr>
          <w:rFonts w:asciiTheme="majorBidi" w:hAnsiTheme="majorBidi" w:cstheme="majorBidi"/>
        </w:rPr>
        <w:t>.</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Pr="0067253E"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Les vitesses </w:t>
      </w:r>
      <w:r>
        <w:rPr>
          <w:rFonts w:asciiTheme="majorBidi" w:hAnsiTheme="majorBidi" w:cstheme="majorBidi"/>
        </w:rPr>
        <w:t>spécifiques</w:t>
      </w:r>
      <w:r w:rsidRPr="0067253E">
        <w:rPr>
          <w:rFonts w:asciiTheme="majorBidi" w:hAnsiTheme="majorBidi" w:cstheme="majorBidi"/>
        </w:rPr>
        <w:t xml:space="preserve"> maximales d’acidification des cultures mixtes entre une souche bénéfique et </w:t>
      </w:r>
      <w:r w:rsidRPr="007C679C">
        <w:rPr>
          <w:rFonts w:asciiTheme="majorBidi" w:hAnsiTheme="majorBidi" w:cstheme="majorBidi"/>
          <w:i/>
          <w:iCs/>
        </w:rPr>
        <w:t>Streptococcus</w:t>
      </w:r>
      <w:r w:rsidRPr="0067253E">
        <w:rPr>
          <w:rFonts w:asciiTheme="majorBidi" w:hAnsiTheme="majorBidi" w:cstheme="majorBidi"/>
        </w:rPr>
        <w:t xml:space="preserve"> </w:t>
      </w:r>
      <w:r w:rsidRPr="007C679C">
        <w:rPr>
          <w:rFonts w:asciiTheme="majorBidi" w:hAnsiTheme="majorBidi" w:cstheme="majorBidi"/>
          <w:i/>
          <w:iCs/>
        </w:rPr>
        <w:t>thermophilus</w:t>
      </w:r>
      <w:r w:rsidRPr="0067253E">
        <w:rPr>
          <w:rFonts w:asciiTheme="majorBidi" w:hAnsiTheme="majorBidi" w:cstheme="majorBidi"/>
        </w:rPr>
        <w:t xml:space="preserve"> en présence de Promilk 852A2 et Promilk C502 sont comprises respectivement entre 0.28 </w:t>
      </w:r>
      <w:r>
        <w:rPr>
          <w:rFonts w:asciiTheme="majorBidi" w:hAnsiTheme="majorBidi" w:cstheme="majorBidi"/>
        </w:rPr>
        <w:t>et</w:t>
      </w:r>
      <w:r w:rsidRPr="0067253E">
        <w:rPr>
          <w:rFonts w:asciiTheme="majorBidi" w:hAnsiTheme="majorBidi" w:cstheme="majorBidi"/>
        </w:rPr>
        <w:t xml:space="preserve"> 0.36h</w:t>
      </w:r>
      <w:r w:rsidRPr="0067253E">
        <w:rPr>
          <w:rFonts w:asciiTheme="majorBidi" w:hAnsiTheme="majorBidi" w:cstheme="majorBidi"/>
          <w:vertAlign w:val="superscript"/>
        </w:rPr>
        <w:t>-1</w:t>
      </w:r>
      <w:r w:rsidRPr="0067253E">
        <w:rPr>
          <w:rFonts w:asciiTheme="majorBidi" w:hAnsiTheme="majorBidi" w:cstheme="majorBidi"/>
        </w:rPr>
        <w:t xml:space="preserve"> et </w:t>
      </w:r>
      <w:r>
        <w:rPr>
          <w:rFonts w:asciiTheme="majorBidi" w:hAnsiTheme="majorBidi" w:cstheme="majorBidi"/>
        </w:rPr>
        <w:t xml:space="preserve">entre </w:t>
      </w:r>
      <w:r w:rsidRPr="0067253E">
        <w:rPr>
          <w:rFonts w:asciiTheme="majorBidi" w:hAnsiTheme="majorBidi" w:cstheme="majorBidi"/>
        </w:rPr>
        <w:t xml:space="preserve">0.3 </w:t>
      </w:r>
      <w:r>
        <w:rPr>
          <w:rFonts w:asciiTheme="majorBidi" w:hAnsiTheme="majorBidi" w:cstheme="majorBidi"/>
        </w:rPr>
        <w:t>et</w:t>
      </w:r>
      <w:r w:rsidRPr="0067253E">
        <w:rPr>
          <w:rFonts w:asciiTheme="majorBidi" w:hAnsiTheme="majorBidi" w:cstheme="majorBidi"/>
        </w:rPr>
        <w:t xml:space="preserve"> 0.41 h</w:t>
      </w:r>
      <w:r w:rsidRPr="0067253E">
        <w:rPr>
          <w:rFonts w:asciiTheme="majorBidi" w:hAnsiTheme="majorBidi" w:cstheme="majorBidi"/>
          <w:vertAlign w:val="superscript"/>
        </w:rPr>
        <w:t>-1</w:t>
      </w:r>
      <w:r w:rsidRPr="0067253E">
        <w:rPr>
          <w:rFonts w:asciiTheme="majorBidi" w:hAnsiTheme="majorBidi" w:cstheme="majorBidi"/>
        </w:rPr>
        <w:t xml:space="preserve">, avec une amélioration de 21.73 à 28.57% et </w:t>
      </w:r>
      <w:r>
        <w:rPr>
          <w:rFonts w:asciiTheme="majorBidi" w:hAnsiTheme="majorBidi" w:cstheme="majorBidi"/>
        </w:rPr>
        <w:t xml:space="preserve">de </w:t>
      </w:r>
      <w:r w:rsidRPr="0067253E">
        <w:rPr>
          <w:rFonts w:asciiTheme="majorBidi" w:hAnsiTheme="majorBidi" w:cstheme="majorBidi"/>
        </w:rPr>
        <w:t xml:space="preserve">30.43 à 46.42% par rapport au témoin dans le même ordre. </w:t>
      </w:r>
    </w:p>
    <w:p w:rsidR="006C66E7" w:rsidRPr="0067253E"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Cependant, la présence d’hydrolysat de caséine dans le lait fermenté affiche une vitesse </w:t>
      </w:r>
      <w:r>
        <w:rPr>
          <w:rFonts w:asciiTheme="majorBidi" w:hAnsiTheme="majorBidi" w:cstheme="majorBidi"/>
        </w:rPr>
        <w:t>spécifique</w:t>
      </w:r>
      <w:r w:rsidRPr="0067253E">
        <w:rPr>
          <w:rFonts w:asciiTheme="majorBidi" w:hAnsiTheme="majorBidi" w:cstheme="majorBidi"/>
        </w:rPr>
        <w:t xml:space="preserve"> maximale d’acidification entre 0.32 </w:t>
      </w:r>
      <w:r>
        <w:rPr>
          <w:rFonts w:asciiTheme="majorBidi" w:hAnsiTheme="majorBidi" w:cstheme="majorBidi"/>
        </w:rPr>
        <w:t>et</w:t>
      </w:r>
      <w:r w:rsidRPr="0067253E">
        <w:rPr>
          <w:rFonts w:asciiTheme="majorBidi" w:hAnsiTheme="majorBidi" w:cstheme="majorBidi"/>
        </w:rPr>
        <w:t xml:space="preserve"> 0.47 h</w:t>
      </w:r>
      <w:r w:rsidRPr="0067253E">
        <w:rPr>
          <w:rFonts w:asciiTheme="majorBidi" w:hAnsiTheme="majorBidi" w:cstheme="majorBidi"/>
          <w:vertAlign w:val="superscript"/>
        </w:rPr>
        <w:t>-1</w:t>
      </w:r>
      <w:r w:rsidRPr="0067253E">
        <w:rPr>
          <w:rFonts w:asciiTheme="majorBidi" w:hAnsiTheme="majorBidi" w:cstheme="majorBidi"/>
        </w:rPr>
        <w:t xml:space="preserve">, avec une régression du temps de fermentation </w:t>
      </w:r>
      <w:r>
        <w:rPr>
          <w:rFonts w:asciiTheme="majorBidi" w:hAnsiTheme="majorBidi" w:cstheme="majorBidi"/>
        </w:rPr>
        <w:t xml:space="preserve">comprise </w:t>
      </w:r>
      <w:r w:rsidRPr="0067253E">
        <w:rPr>
          <w:rFonts w:asciiTheme="majorBidi" w:hAnsiTheme="majorBidi" w:cstheme="majorBidi"/>
        </w:rPr>
        <w:t xml:space="preserve">entre 55 min </w:t>
      </w:r>
      <w:r>
        <w:rPr>
          <w:rFonts w:asciiTheme="majorBidi" w:hAnsiTheme="majorBidi" w:cstheme="majorBidi"/>
        </w:rPr>
        <w:t>et</w:t>
      </w:r>
      <w:r w:rsidRPr="0067253E">
        <w:rPr>
          <w:rFonts w:asciiTheme="majorBidi" w:hAnsiTheme="majorBidi" w:cstheme="majorBidi"/>
        </w:rPr>
        <w:t xml:space="preserve"> 2h03 min par rapport au témoin.</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Pr="0067253E"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L’ajout des facteurs de croissance, tels que les hydrolysats de protéine</w:t>
      </w:r>
      <w:r>
        <w:rPr>
          <w:rFonts w:asciiTheme="majorBidi" w:hAnsiTheme="majorBidi" w:cstheme="majorBidi"/>
        </w:rPr>
        <w:t>s</w:t>
      </w:r>
      <w:r w:rsidRPr="0067253E">
        <w:rPr>
          <w:rFonts w:asciiTheme="majorBidi" w:hAnsiTheme="majorBidi" w:cstheme="majorBidi"/>
        </w:rPr>
        <w:t xml:space="preserve"> du lait améliore le taux d’acidification et réduit le temps de fermentation de 25 à 75% </w:t>
      </w:r>
      <w:r w:rsidRPr="0067253E">
        <w:rPr>
          <w:rFonts w:asciiTheme="majorBidi" w:hAnsiTheme="majorBidi" w:cstheme="majorBidi"/>
          <w:color w:val="0000FF"/>
        </w:rPr>
        <w:t>(Dave et Shah, 1998 ; Oliveira et al., 2001)</w:t>
      </w:r>
      <w:r w:rsidRPr="0067253E">
        <w:rPr>
          <w:rFonts w:asciiTheme="majorBidi" w:hAnsiTheme="majorBidi" w:cstheme="majorBidi"/>
        </w:rPr>
        <w:t>.</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Pr="0067253E"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La combinaison entre une souche bifide et les deux bactéries lactiques peut donner un produit doux </w:t>
      </w:r>
      <w:r w:rsidRPr="0067253E">
        <w:rPr>
          <w:rFonts w:asciiTheme="majorBidi" w:hAnsiTheme="majorBidi" w:cstheme="majorBidi"/>
          <w:color w:val="0000FF"/>
        </w:rPr>
        <w:t>(Samona et al., 1996)</w:t>
      </w:r>
      <w:r w:rsidRPr="0067253E">
        <w:rPr>
          <w:rFonts w:asciiTheme="majorBidi" w:hAnsiTheme="majorBidi" w:cstheme="majorBidi"/>
        </w:rPr>
        <w:t>.</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Dans une étude de </w:t>
      </w:r>
      <w:r w:rsidRPr="0067253E">
        <w:rPr>
          <w:rFonts w:asciiTheme="majorBidi" w:hAnsiTheme="majorBidi" w:cstheme="majorBidi"/>
          <w:color w:val="0000FF"/>
        </w:rPr>
        <w:t>Slocum et al. (1998</w:t>
      </w:r>
      <w:r>
        <w:rPr>
          <w:rFonts w:asciiTheme="majorBidi" w:hAnsiTheme="majorBidi" w:cstheme="majorBidi"/>
        </w:rPr>
        <w:t xml:space="preserve"> ; </w:t>
      </w:r>
      <w:r w:rsidRPr="0067253E">
        <w:rPr>
          <w:rFonts w:asciiTheme="majorBidi" w:hAnsiTheme="majorBidi" w:cstheme="majorBidi"/>
        </w:rPr>
        <w:t xml:space="preserve">citée par </w:t>
      </w:r>
      <w:r w:rsidRPr="0067253E">
        <w:rPr>
          <w:rFonts w:asciiTheme="majorBidi" w:hAnsiTheme="majorBidi" w:cstheme="majorBidi"/>
          <w:color w:val="0000FF"/>
        </w:rPr>
        <w:t>El-Zahar et al.</w:t>
      </w:r>
      <w:r>
        <w:rPr>
          <w:rFonts w:asciiTheme="majorBidi" w:hAnsiTheme="majorBidi" w:cstheme="majorBidi"/>
          <w:color w:val="0000FF"/>
        </w:rPr>
        <w:t>,</w:t>
      </w:r>
      <w:r w:rsidRPr="0067253E">
        <w:rPr>
          <w:rFonts w:asciiTheme="majorBidi" w:hAnsiTheme="majorBidi" w:cstheme="majorBidi"/>
          <w:color w:val="0000FF"/>
        </w:rPr>
        <w:t xml:space="preserve"> 2004)</w:t>
      </w:r>
      <w:r w:rsidRPr="0067253E">
        <w:rPr>
          <w:rFonts w:asciiTheme="majorBidi" w:hAnsiTheme="majorBidi" w:cstheme="majorBidi"/>
        </w:rPr>
        <w:t xml:space="preserve"> ont constaté que l’activité protéolytique de </w:t>
      </w:r>
      <w:r w:rsidRPr="0067253E">
        <w:rPr>
          <w:rFonts w:asciiTheme="majorBidi" w:hAnsiTheme="majorBidi" w:cstheme="majorBidi"/>
          <w:i/>
          <w:iCs/>
        </w:rPr>
        <w:t>Lactobacillus</w:t>
      </w:r>
      <w:r w:rsidRPr="0067253E">
        <w:rPr>
          <w:rFonts w:asciiTheme="majorBidi" w:hAnsiTheme="majorBidi" w:cstheme="majorBidi"/>
        </w:rPr>
        <w:t xml:space="preserve"> </w:t>
      </w:r>
      <w:r w:rsidRPr="0067253E">
        <w:rPr>
          <w:rFonts w:asciiTheme="majorBidi" w:hAnsiTheme="majorBidi" w:cstheme="majorBidi"/>
          <w:i/>
          <w:iCs/>
        </w:rPr>
        <w:t>delbruekii</w:t>
      </w:r>
      <w:r w:rsidRPr="0067253E">
        <w:rPr>
          <w:rFonts w:asciiTheme="majorBidi" w:hAnsiTheme="majorBidi" w:cstheme="majorBidi"/>
        </w:rPr>
        <w:t xml:space="preserve"> ssp </w:t>
      </w:r>
      <w:r w:rsidRPr="0067253E">
        <w:rPr>
          <w:rFonts w:asciiTheme="majorBidi" w:hAnsiTheme="majorBidi" w:cstheme="majorBidi"/>
          <w:i/>
          <w:iCs/>
        </w:rPr>
        <w:t>bulgaricus</w:t>
      </w:r>
      <w:r w:rsidRPr="0067253E">
        <w:rPr>
          <w:rFonts w:asciiTheme="majorBidi" w:hAnsiTheme="majorBidi" w:cstheme="majorBidi"/>
        </w:rPr>
        <w:t xml:space="preserve"> </w:t>
      </w:r>
      <w:r>
        <w:rPr>
          <w:rFonts w:asciiTheme="majorBidi" w:hAnsiTheme="majorBidi" w:cstheme="majorBidi"/>
        </w:rPr>
        <w:t>était</w:t>
      </w:r>
      <w:r w:rsidRPr="0067253E">
        <w:rPr>
          <w:rFonts w:asciiTheme="majorBidi" w:hAnsiTheme="majorBidi" w:cstheme="majorBidi"/>
        </w:rPr>
        <w:t xml:space="preserve"> supérieure à celle de </w:t>
      </w:r>
      <w:r w:rsidRPr="0067253E">
        <w:rPr>
          <w:rFonts w:asciiTheme="majorBidi" w:hAnsiTheme="majorBidi" w:cstheme="majorBidi"/>
          <w:i/>
          <w:iCs/>
        </w:rPr>
        <w:t>Streptococcus</w:t>
      </w:r>
      <w:r w:rsidRPr="0067253E">
        <w:rPr>
          <w:rFonts w:asciiTheme="majorBidi" w:hAnsiTheme="majorBidi" w:cstheme="majorBidi"/>
        </w:rPr>
        <w:t xml:space="preserve"> </w:t>
      </w:r>
      <w:r w:rsidRPr="0067253E">
        <w:rPr>
          <w:rFonts w:asciiTheme="majorBidi" w:hAnsiTheme="majorBidi" w:cstheme="majorBidi"/>
          <w:i/>
          <w:iCs/>
        </w:rPr>
        <w:t>thermophilus</w:t>
      </w:r>
      <w:r w:rsidRPr="0067253E">
        <w:rPr>
          <w:rFonts w:asciiTheme="majorBidi" w:hAnsiTheme="majorBidi" w:cstheme="majorBidi"/>
        </w:rPr>
        <w:t>.</w:t>
      </w:r>
    </w:p>
    <w:p w:rsidR="006C66E7" w:rsidRDefault="006C66E7" w:rsidP="006C66E7">
      <w:pPr>
        <w:spacing w:before="0" w:after="0" w:line="360" w:lineRule="auto"/>
        <w:ind w:firstLine="360"/>
        <w:contextualSpacing/>
        <w:jc w:val="both"/>
        <w:rPr>
          <w:rFonts w:asciiTheme="majorBidi" w:hAnsiTheme="majorBidi" w:cstheme="majorBidi"/>
        </w:rPr>
      </w:pPr>
    </w:p>
    <w:p w:rsidR="006C66E7" w:rsidRDefault="006C66E7" w:rsidP="00D81AD1">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Dans une </w:t>
      </w:r>
      <w:r>
        <w:rPr>
          <w:rFonts w:asciiTheme="majorBidi" w:hAnsiTheme="majorBidi" w:cstheme="majorBidi"/>
        </w:rPr>
        <w:t xml:space="preserve">autre </w:t>
      </w:r>
      <w:r w:rsidRPr="0067253E">
        <w:rPr>
          <w:rFonts w:asciiTheme="majorBidi" w:hAnsiTheme="majorBidi" w:cstheme="majorBidi"/>
        </w:rPr>
        <w:t>étude</w:t>
      </w:r>
      <w:r>
        <w:rPr>
          <w:rFonts w:asciiTheme="majorBidi" w:hAnsiTheme="majorBidi" w:cstheme="majorBidi"/>
        </w:rPr>
        <w:t>,</w:t>
      </w:r>
      <w:r w:rsidRPr="0067253E">
        <w:rPr>
          <w:rFonts w:asciiTheme="majorBidi" w:hAnsiTheme="majorBidi" w:cstheme="majorBidi"/>
        </w:rPr>
        <w:t xml:space="preserve"> </w:t>
      </w:r>
      <w:r w:rsidRPr="0067253E">
        <w:rPr>
          <w:rFonts w:asciiTheme="majorBidi" w:hAnsiTheme="majorBidi" w:cstheme="majorBidi"/>
          <w:color w:val="0000FF"/>
        </w:rPr>
        <w:t>Sodini et al. (2002)</w:t>
      </w:r>
      <w:r w:rsidRPr="0067253E">
        <w:rPr>
          <w:rFonts w:asciiTheme="majorBidi" w:hAnsiTheme="majorBidi" w:cstheme="majorBidi"/>
        </w:rPr>
        <w:t xml:space="preserve"> ont démontré que la culture mixte avec les souches bénéfiques </w:t>
      </w:r>
      <w:r w:rsidRPr="00FC71C4">
        <w:rPr>
          <w:rFonts w:asciiTheme="majorBidi" w:hAnsiTheme="majorBidi" w:cstheme="majorBidi"/>
          <w:i/>
          <w:iCs/>
        </w:rPr>
        <w:t>Lactobacillus</w:t>
      </w:r>
      <w:r>
        <w:rPr>
          <w:rFonts w:asciiTheme="majorBidi" w:hAnsiTheme="majorBidi" w:cstheme="majorBidi"/>
        </w:rPr>
        <w:t xml:space="preserve"> </w:t>
      </w:r>
      <w:r w:rsidRPr="00FC71C4">
        <w:rPr>
          <w:rFonts w:asciiTheme="majorBidi" w:hAnsiTheme="majorBidi" w:cstheme="majorBidi"/>
          <w:i/>
          <w:iCs/>
        </w:rPr>
        <w:t>acidophilus</w:t>
      </w:r>
      <w:r>
        <w:rPr>
          <w:rFonts w:asciiTheme="majorBidi" w:hAnsiTheme="majorBidi" w:cstheme="majorBidi"/>
        </w:rPr>
        <w:t xml:space="preserve"> </w:t>
      </w:r>
      <w:r w:rsidRPr="0067253E">
        <w:rPr>
          <w:rFonts w:asciiTheme="majorBidi" w:hAnsiTheme="majorBidi" w:cstheme="majorBidi"/>
        </w:rPr>
        <w:t xml:space="preserve">LA5 et </w:t>
      </w:r>
      <w:r w:rsidRPr="00FC71C4">
        <w:rPr>
          <w:rFonts w:asciiTheme="majorBidi" w:hAnsiTheme="majorBidi" w:cstheme="majorBidi"/>
          <w:i/>
          <w:iCs/>
        </w:rPr>
        <w:t>Lactoabcillus</w:t>
      </w:r>
      <w:r>
        <w:rPr>
          <w:rFonts w:asciiTheme="majorBidi" w:hAnsiTheme="majorBidi" w:cstheme="majorBidi"/>
        </w:rPr>
        <w:t xml:space="preserve"> </w:t>
      </w:r>
      <w:r w:rsidRPr="00FC71C4">
        <w:rPr>
          <w:rFonts w:asciiTheme="majorBidi" w:hAnsiTheme="majorBidi" w:cstheme="majorBidi"/>
          <w:i/>
          <w:iCs/>
        </w:rPr>
        <w:t>rhamnosus</w:t>
      </w:r>
      <w:r>
        <w:rPr>
          <w:rFonts w:asciiTheme="majorBidi" w:hAnsiTheme="majorBidi" w:cstheme="majorBidi"/>
        </w:rPr>
        <w:t xml:space="preserve"> </w:t>
      </w:r>
      <w:r w:rsidRPr="0067253E">
        <w:rPr>
          <w:rFonts w:asciiTheme="majorBidi" w:hAnsiTheme="majorBidi" w:cstheme="majorBidi"/>
        </w:rPr>
        <w:t xml:space="preserve">LR35) et les deux bactéries lactiques a un temps de fermentation plus court que la culture avec les souches bénéfiques et </w:t>
      </w:r>
      <w:r w:rsidRPr="0067253E">
        <w:rPr>
          <w:rFonts w:asciiTheme="majorBidi" w:hAnsiTheme="majorBidi" w:cstheme="majorBidi"/>
          <w:i/>
          <w:iCs/>
        </w:rPr>
        <w:t>Streptococcus</w:t>
      </w:r>
      <w:r w:rsidRPr="0067253E">
        <w:rPr>
          <w:rFonts w:asciiTheme="majorBidi" w:hAnsiTheme="majorBidi" w:cstheme="majorBidi"/>
        </w:rPr>
        <w:t xml:space="preserve"> </w:t>
      </w:r>
      <w:r w:rsidRPr="0067253E">
        <w:rPr>
          <w:rFonts w:asciiTheme="majorBidi" w:hAnsiTheme="majorBidi" w:cstheme="majorBidi"/>
          <w:i/>
          <w:iCs/>
        </w:rPr>
        <w:t>thermophilus</w:t>
      </w:r>
      <w:r w:rsidRPr="0067253E">
        <w:rPr>
          <w:rFonts w:asciiTheme="majorBidi" w:hAnsiTheme="majorBidi" w:cstheme="majorBidi"/>
        </w:rPr>
        <w:t xml:space="preserve"> seule. </w:t>
      </w:r>
      <w:r>
        <w:rPr>
          <w:rFonts w:asciiTheme="majorBidi" w:hAnsiTheme="majorBidi" w:cstheme="majorBidi"/>
        </w:rPr>
        <w:t>Le</w:t>
      </w:r>
      <w:r w:rsidRPr="0067253E">
        <w:rPr>
          <w:rFonts w:asciiTheme="majorBidi" w:hAnsiTheme="majorBidi" w:cstheme="majorBidi"/>
        </w:rPr>
        <w:t xml:space="preserve"> temps le plus court était obtenu en présence d’hydrolysat de caséine</w:t>
      </w:r>
      <w:r>
        <w:rPr>
          <w:rFonts w:asciiTheme="majorBidi" w:hAnsiTheme="majorBidi" w:cstheme="majorBidi"/>
        </w:rPr>
        <w:t>s</w:t>
      </w:r>
      <w:r w:rsidRPr="0067253E">
        <w:rPr>
          <w:rFonts w:asciiTheme="majorBidi" w:hAnsiTheme="majorBidi" w:cstheme="majorBidi"/>
        </w:rPr>
        <w:t xml:space="preserve"> CH2 (5h10 min avec LA5, et 6h10 min avec LR35).</w:t>
      </w:r>
      <w:r>
        <w:rPr>
          <w:rFonts w:asciiTheme="majorBidi" w:hAnsiTheme="majorBidi" w:cstheme="majorBidi"/>
        </w:rPr>
        <w:br w:type="page"/>
      </w:r>
    </w:p>
    <w:p w:rsidR="006C66E7" w:rsidRDefault="006F133D" w:rsidP="006C66E7">
      <w:pPr>
        <w:spacing w:before="0" w:after="0" w:line="276" w:lineRule="auto"/>
        <w:ind w:firstLine="0"/>
        <w:rPr>
          <w:rFonts w:asciiTheme="majorBidi" w:hAnsiTheme="majorBidi" w:cstheme="majorBidi"/>
        </w:rPr>
      </w:pPr>
      <w:r>
        <w:rPr>
          <w:rFonts w:asciiTheme="majorBidi" w:hAnsiTheme="majorBidi" w:cstheme="majorBidi"/>
          <w:noProof/>
          <w:lang w:eastAsia="fr-FR"/>
        </w:rPr>
        <w:lastRenderedPageBreak/>
        <w:pict>
          <v:shape id="_x0000_s2070" type="#_x0000_t202" style="position:absolute;margin-left:21.6pt;margin-top:546.1pt;width:408.75pt;height:121.5pt;z-index:251680768" strokecolor="white [3212]">
            <v:textbox>
              <w:txbxContent>
                <w:p w:rsidR="00310CA5" w:rsidRDefault="00310CA5" w:rsidP="006C66E7">
                  <w:pPr>
                    <w:ind w:left="993" w:hanging="993"/>
                    <w:jc w:val="both"/>
                  </w:pPr>
                  <w:r w:rsidRPr="0053171C">
                    <w:rPr>
                      <w:rFonts w:ascii="Times New Roman" w:hAnsi="Times New Roman" w:cs="Times New Roman"/>
                      <w:b/>
                      <w:bCs/>
                      <w:sz w:val="20"/>
                      <w:szCs w:val="20"/>
                      <w:u w:val="single"/>
                    </w:rPr>
                    <w:t xml:space="preserve">Figure </w:t>
                  </w:r>
                  <w:r>
                    <w:rPr>
                      <w:rFonts w:ascii="Times New Roman" w:hAnsi="Times New Roman" w:cs="Times New Roman"/>
                      <w:b/>
                      <w:bCs/>
                      <w:sz w:val="20"/>
                      <w:szCs w:val="20"/>
                      <w:u w:val="single"/>
                    </w:rPr>
                    <w:t>4</w:t>
                  </w:r>
                  <w:r w:rsidRPr="003468B2">
                    <w:rPr>
                      <w:rFonts w:ascii="Times New Roman" w:hAnsi="Times New Roman" w:cs="Times New Roman"/>
                      <w:sz w:val="20"/>
                      <w:szCs w:val="20"/>
                    </w:rPr>
                    <w:t xml:space="preserve">: Cinétique </w:t>
                  </w:r>
                  <w:r w:rsidRPr="009568CE">
                    <w:rPr>
                      <w:rFonts w:ascii="Times New Roman" w:hAnsi="Times New Roman" w:cs="Times New Roman"/>
                      <w:b/>
                      <w:bCs/>
                      <w:sz w:val="20"/>
                      <w:szCs w:val="20"/>
                    </w:rPr>
                    <w:t>d’acidification</w:t>
                  </w:r>
                  <w:r w:rsidRPr="003468B2">
                    <w:rPr>
                      <w:rFonts w:ascii="Times New Roman" w:hAnsi="Times New Roman" w:cs="Times New Roman"/>
                      <w:sz w:val="20"/>
                      <w:szCs w:val="20"/>
                    </w:rPr>
                    <w:t xml:space="preserve"> de la culture mixte entre une souche </w:t>
                  </w:r>
                  <w:r>
                    <w:rPr>
                      <w:rFonts w:ascii="Times New Roman" w:hAnsi="Times New Roman" w:cs="Times New Roman"/>
                      <w:sz w:val="20"/>
                      <w:szCs w:val="20"/>
                    </w:rPr>
                    <w:t xml:space="preserve">bénéfique </w:t>
                  </w:r>
                  <w:r w:rsidRPr="003468B2">
                    <w:rPr>
                      <w:rFonts w:ascii="Times New Roman" w:hAnsi="Times New Roman" w:cs="Times New Roman"/>
                      <w:sz w:val="20"/>
                      <w:szCs w:val="20"/>
                    </w:rPr>
                    <w:t>BLR </w:t>
                  </w:r>
                  <w:r w:rsidRPr="003468B2">
                    <w:rPr>
                      <w:rFonts w:ascii="Times New Roman" w:hAnsi="Times New Roman" w:cs="Times New Roman"/>
                      <w:b/>
                      <w:bCs/>
                      <w:sz w:val="20"/>
                      <w:szCs w:val="20"/>
                    </w:rPr>
                    <w:t>(A)</w:t>
                  </w:r>
                  <w:r w:rsidRPr="003468B2">
                    <w:rPr>
                      <w:rFonts w:ascii="Times New Roman" w:hAnsi="Times New Roman" w:cs="Times New Roman"/>
                      <w:sz w:val="20"/>
                      <w:szCs w:val="20"/>
                    </w:rPr>
                    <w:t>; LbRE</w:t>
                  </w:r>
                  <w:r>
                    <w:rPr>
                      <w:rFonts w:ascii="Times New Roman" w:hAnsi="Times New Roman" w:cs="Times New Roman"/>
                      <w:sz w:val="20"/>
                      <w:szCs w:val="20"/>
                    </w:rPr>
                    <w:t>-</w:t>
                  </w:r>
                  <w:r w:rsidRPr="003468B2">
                    <w:rPr>
                      <w:rFonts w:ascii="Times New Roman" w:hAnsi="Times New Roman" w:cs="Times New Roman"/>
                      <w:sz w:val="20"/>
                      <w:szCs w:val="20"/>
                    </w:rPr>
                    <w:t xml:space="preserve">LSAS </w:t>
                  </w:r>
                  <w:r w:rsidRPr="003468B2">
                    <w:rPr>
                      <w:rFonts w:ascii="Times New Roman" w:hAnsi="Times New Roman" w:cs="Times New Roman"/>
                      <w:b/>
                      <w:bCs/>
                      <w:sz w:val="20"/>
                      <w:szCs w:val="20"/>
                    </w:rPr>
                    <w:t>(B)</w:t>
                  </w:r>
                  <w:r w:rsidRPr="003468B2">
                    <w:rPr>
                      <w:rFonts w:ascii="Times New Roman" w:hAnsi="Times New Roman" w:cs="Times New Roman"/>
                      <w:sz w:val="20"/>
                      <w:szCs w:val="20"/>
                    </w:rPr>
                    <w:t xml:space="preserve">; Bb12 </w:t>
                  </w:r>
                  <w:r w:rsidRPr="003468B2">
                    <w:rPr>
                      <w:rFonts w:ascii="Times New Roman" w:hAnsi="Times New Roman" w:cs="Times New Roman"/>
                      <w:b/>
                      <w:bCs/>
                      <w:sz w:val="20"/>
                      <w:szCs w:val="20"/>
                    </w:rPr>
                    <w:t>(C)</w:t>
                  </w:r>
                  <w:r w:rsidRPr="003468B2">
                    <w:rPr>
                      <w:rFonts w:ascii="Times New Roman" w:hAnsi="Times New Roman" w:cs="Times New Roman"/>
                      <w:sz w:val="20"/>
                      <w:szCs w:val="20"/>
                    </w:rPr>
                    <w:t xml:space="preserve">; </w:t>
                  </w:r>
                  <w:r>
                    <w:rPr>
                      <w:rFonts w:ascii="Times New Roman" w:hAnsi="Times New Roman" w:cs="Times New Roman"/>
                      <w:sz w:val="20"/>
                      <w:szCs w:val="20"/>
                    </w:rPr>
                    <w:t xml:space="preserve">Lba </w:t>
                  </w:r>
                  <w:r w:rsidRPr="003468B2">
                    <w:rPr>
                      <w:rFonts w:ascii="Times New Roman" w:hAnsi="Times New Roman" w:cs="Times New Roman"/>
                      <w:sz w:val="20"/>
                      <w:szCs w:val="20"/>
                    </w:rPr>
                    <w:t xml:space="preserve">CECT4529 </w:t>
                  </w:r>
                  <w:r w:rsidRPr="003468B2">
                    <w:rPr>
                      <w:rFonts w:ascii="Times New Roman" w:hAnsi="Times New Roman" w:cs="Times New Roman"/>
                      <w:b/>
                      <w:bCs/>
                      <w:sz w:val="20"/>
                      <w:szCs w:val="20"/>
                    </w:rPr>
                    <w:t>(D)</w:t>
                  </w:r>
                  <w:r w:rsidRPr="003468B2">
                    <w:rPr>
                      <w:rFonts w:ascii="Times New Roman" w:hAnsi="Times New Roman" w:cs="Times New Roman"/>
                      <w:sz w:val="20"/>
                      <w:szCs w:val="20"/>
                    </w:rPr>
                    <w:t xml:space="preserve"> </w:t>
                  </w:r>
                  <w:r>
                    <w:rPr>
                      <w:rFonts w:ascii="Times New Roman" w:hAnsi="Times New Roman" w:cs="Times New Roman"/>
                      <w:sz w:val="20"/>
                      <w:szCs w:val="20"/>
                    </w:rPr>
                    <w:t>ou</w:t>
                  </w:r>
                  <w:r w:rsidRPr="003468B2">
                    <w:rPr>
                      <w:rFonts w:ascii="Times New Roman" w:hAnsi="Times New Roman" w:cs="Times New Roman"/>
                      <w:sz w:val="20"/>
                      <w:szCs w:val="20"/>
                    </w:rPr>
                    <w:t xml:space="preserve"> </w:t>
                  </w:r>
                  <w:r>
                    <w:rPr>
                      <w:rFonts w:ascii="Times New Roman" w:hAnsi="Times New Roman" w:cs="Times New Roman"/>
                      <w:sz w:val="20"/>
                      <w:szCs w:val="20"/>
                    </w:rPr>
                    <w:t>Lbp CECT</w:t>
                  </w:r>
                  <w:r w:rsidRPr="003468B2">
                    <w:rPr>
                      <w:rFonts w:ascii="Times New Roman" w:hAnsi="Times New Roman" w:cs="Times New Roman"/>
                      <w:sz w:val="20"/>
                      <w:szCs w:val="20"/>
                    </w:rPr>
                    <w:t xml:space="preserve">748 </w:t>
                  </w:r>
                  <w:r w:rsidRPr="003468B2">
                    <w:rPr>
                      <w:rFonts w:ascii="Times New Roman" w:hAnsi="Times New Roman" w:cs="Times New Roman"/>
                      <w:b/>
                      <w:bCs/>
                      <w:sz w:val="20"/>
                      <w:szCs w:val="20"/>
                    </w:rPr>
                    <w:t>(E)</w:t>
                  </w:r>
                  <w:r w:rsidRPr="003468B2">
                    <w:rPr>
                      <w:rFonts w:ascii="Times New Roman" w:hAnsi="Times New Roman" w:cs="Times New Roman"/>
                      <w:sz w:val="20"/>
                      <w:szCs w:val="20"/>
                    </w:rPr>
                    <w:t xml:space="preserve"> </w:t>
                  </w:r>
                  <w:r>
                    <w:rPr>
                      <w:rFonts w:ascii="Times New Roman" w:hAnsi="Times New Roman" w:cs="Times New Roman"/>
                      <w:sz w:val="20"/>
                      <w:szCs w:val="20"/>
                    </w:rPr>
                    <w:t xml:space="preserve">et une souche </w:t>
                  </w:r>
                  <w:r w:rsidRPr="003468B2">
                    <w:rPr>
                      <w:rFonts w:ascii="Times New Roman" w:hAnsi="Times New Roman" w:cs="Times New Roman"/>
                      <w:i/>
                      <w:iCs/>
                      <w:sz w:val="20"/>
                      <w:szCs w:val="20"/>
                    </w:rPr>
                    <w:t>Streptococcus thermophilus</w:t>
                  </w:r>
                  <w:r w:rsidRPr="003468B2">
                    <w:rPr>
                      <w:rFonts w:ascii="Times New Roman" w:hAnsi="Times New Roman" w:cs="Times New Roman"/>
                      <w:sz w:val="20"/>
                      <w:szCs w:val="20"/>
                    </w:rPr>
                    <w:t xml:space="preserve"> STB01 à 37°C sur milieu lait. Cultures mixtes témoin (</w:t>
                  </w:r>
                  <w:r w:rsidRPr="00C44983">
                    <w:rPr>
                      <w:rFonts w:ascii="Times New Roman" w:hAnsi="Times New Roman" w:cs="Times New Roman"/>
                      <w:noProof/>
                      <w:color w:val="0070C0"/>
                      <w:sz w:val="20"/>
                      <w:szCs w:val="20"/>
                      <w:lang w:eastAsia="fr-FR"/>
                    </w:rPr>
                    <w:t>■</w:t>
                  </w:r>
                  <w:r w:rsidRPr="003468B2">
                    <w:rPr>
                      <w:rFonts w:ascii="Times New Roman" w:hAnsi="Times New Roman" w:cs="Times New Roman"/>
                      <w:sz w:val="20"/>
                      <w:szCs w:val="20"/>
                    </w:rPr>
                    <w:t xml:space="preserve">), cultures mixtes additionnées de 0,53% </w:t>
                  </w:r>
                  <w:r>
                    <w:rPr>
                      <w:rFonts w:ascii="Times New Roman" w:hAnsi="Times New Roman" w:cs="Times New Roman"/>
                      <w:sz w:val="20"/>
                      <w:szCs w:val="20"/>
                    </w:rPr>
                    <w:t xml:space="preserve">(P/V) : </w:t>
                  </w:r>
                  <w:r w:rsidRPr="003468B2">
                    <w:rPr>
                      <w:rFonts w:ascii="Times New Roman" w:hAnsi="Times New Roman" w:cs="Times New Roman"/>
                      <w:sz w:val="20"/>
                      <w:szCs w:val="20"/>
                    </w:rPr>
                    <w:t>de lactosérum doux (</w:t>
                  </w:r>
                  <w:r w:rsidRPr="007A6C8B">
                    <w:rPr>
                      <w:rFonts w:ascii="Times New Roman" w:hAnsi="Times New Roman" w:cs="Times New Roman"/>
                      <w:color w:val="FF9900"/>
                      <w:sz w:val="20"/>
                      <w:szCs w:val="20"/>
                    </w:rPr>
                    <w:t>■</w:t>
                  </w:r>
                  <w:r w:rsidRPr="003468B2">
                    <w:rPr>
                      <w:rFonts w:ascii="Times New Roman" w:hAnsi="Times New Roman" w:cs="Times New Roman"/>
                      <w:sz w:val="20"/>
                      <w:szCs w:val="20"/>
                    </w:rPr>
                    <w:t>), de Promilk 852A2 (</w:t>
                  </w:r>
                  <w:r w:rsidRPr="00C44983">
                    <w:rPr>
                      <w:rFonts w:ascii="Times New Roman" w:hAnsi="Times New Roman" w:cs="Times New Roman"/>
                      <w:color w:val="92D050"/>
                      <w:sz w:val="20"/>
                      <w:szCs w:val="20"/>
                    </w:rPr>
                    <w:t>■</w:t>
                  </w:r>
                  <w:r w:rsidRPr="003468B2">
                    <w:rPr>
                      <w:rFonts w:ascii="Times New Roman" w:hAnsi="Times New Roman" w:cs="Times New Roman"/>
                      <w:sz w:val="20"/>
                      <w:szCs w:val="20"/>
                    </w:rPr>
                    <w:t>),</w:t>
                  </w:r>
                  <w:r>
                    <w:rPr>
                      <w:rFonts w:ascii="Times New Roman" w:hAnsi="Times New Roman" w:cs="Times New Roman"/>
                      <w:sz w:val="20"/>
                      <w:szCs w:val="20"/>
                    </w:rPr>
                    <w:t xml:space="preserve"> </w:t>
                  </w:r>
                  <w:r w:rsidRPr="003468B2">
                    <w:rPr>
                      <w:rFonts w:ascii="Times New Roman" w:hAnsi="Times New Roman" w:cs="Times New Roman"/>
                      <w:sz w:val="20"/>
                      <w:szCs w:val="20"/>
                    </w:rPr>
                    <w:t>de Promilk C502 (</w:t>
                  </w:r>
                  <w:r w:rsidRPr="00C44983">
                    <w:rPr>
                      <w:rFonts w:ascii="Times New Roman" w:hAnsi="Times New Roman" w:cs="Times New Roman"/>
                      <w:color w:val="FF33CC"/>
                      <w:sz w:val="20"/>
                      <w:szCs w:val="20"/>
                    </w:rPr>
                    <w:t>■</w:t>
                  </w:r>
                  <w:r w:rsidRPr="003468B2">
                    <w:rPr>
                      <w:rFonts w:ascii="Times New Roman" w:hAnsi="Times New Roman" w:cs="Times New Roman"/>
                      <w:sz w:val="20"/>
                      <w:szCs w:val="20"/>
                    </w:rPr>
                    <w:t>)</w:t>
                  </w:r>
                  <w:r>
                    <w:rPr>
                      <w:rFonts w:ascii="Times New Roman" w:hAnsi="Times New Roman" w:cs="Times New Roman"/>
                      <w:sz w:val="20"/>
                      <w:szCs w:val="20"/>
                    </w:rPr>
                    <w:t xml:space="preserve"> ou </w:t>
                  </w:r>
                  <w:r w:rsidRPr="003468B2">
                    <w:rPr>
                      <w:rFonts w:ascii="Times New Roman" w:hAnsi="Times New Roman" w:cs="Times New Roman"/>
                      <w:sz w:val="20"/>
                      <w:szCs w:val="20"/>
                    </w:rPr>
                    <w:t>d’hydrolysat de caséine (</w:t>
                  </w:r>
                  <w:r w:rsidRPr="00C44983">
                    <w:rPr>
                      <w:rFonts w:ascii="Times New Roman" w:hAnsi="Times New Roman" w:cs="Times New Roman"/>
                      <w:color w:val="990099"/>
                      <w:sz w:val="20"/>
                      <w:szCs w:val="20"/>
                    </w:rPr>
                    <w:t>■</w:t>
                  </w:r>
                  <w:r>
                    <w:rPr>
                      <w:rFonts w:ascii="Times New Roman" w:hAnsi="Times New Roman" w:cs="Times New Roman"/>
                      <w:sz w:val="20"/>
                      <w:szCs w:val="20"/>
                    </w:rPr>
                    <w:t>)</w:t>
                  </w:r>
                  <w:r w:rsidRPr="003468B2">
                    <w:rPr>
                      <w:rFonts w:ascii="Times New Roman" w:hAnsi="Times New Roman" w:cs="Times New Roman"/>
                      <w:sz w:val="20"/>
                      <w:szCs w:val="20"/>
                    </w:rPr>
                    <w:t>. Dans toutes les cultures mixtes, l’inoculum est à une concentration finale de 10</w:t>
                  </w:r>
                  <w:r w:rsidRPr="003468B2">
                    <w:rPr>
                      <w:rFonts w:ascii="Times New Roman" w:hAnsi="Times New Roman" w:cs="Times New Roman"/>
                      <w:sz w:val="20"/>
                      <w:szCs w:val="20"/>
                      <w:vertAlign w:val="superscript"/>
                    </w:rPr>
                    <w:t>6</w:t>
                  </w:r>
                  <w:r w:rsidRPr="003468B2">
                    <w:rPr>
                      <w:rFonts w:ascii="Times New Roman" w:hAnsi="Times New Roman" w:cs="Times New Roman"/>
                      <w:sz w:val="20"/>
                      <w:szCs w:val="20"/>
                    </w:rPr>
                    <w:t xml:space="preserve"> </w:t>
                  </w:r>
                  <w:r>
                    <w:rPr>
                      <w:rFonts w:ascii="Times New Roman" w:hAnsi="Times New Roman" w:cs="Times New Roman"/>
                      <w:sz w:val="20"/>
                      <w:szCs w:val="20"/>
                    </w:rPr>
                    <w:t xml:space="preserve">(pour les bactéries lactiques) </w:t>
                  </w:r>
                  <w:r w:rsidRPr="003468B2">
                    <w:rPr>
                      <w:rFonts w:ascii="Times New Roman" w:hAnsi="Times New Roman" w:cs="Times New Roman"/>
                      <w:sz w:val="20"/>
                      <w:szCs w:val="20"/>
                    </w:rPr>
                    <w:t>à 10</w:t>
                  </w:r>
                  <w:r w:rsidRPr="003468B2">
                    <w:rPr>
                      <w:rFonts w:ascii="Times New Roman" w:hAnsi="Times New Roman" w:cs="Times New Roman"/>
                      <w:sz w:val="20"/>
                      <w:szCs w:val="20"/>
                      <w:vertAlign w:val="superscript"/>
                    </w:rPr>
                    <w:t>7</w:t>
                  </w:r>
                  <w:r w:rsidRPr="003468B2">
                    <w:rPr>
                      <w:rFonts w:ascii="Times New Roman" w:hAnsi="Times New Roman" w:cs="Times New Roman"/>
                      <w:sz w:val="20"/>
                      <w:szCs w:val="20"/>
                    </w:rPr>
                    <w:t xml:space="preserve"> </w:t>
                  </w:r>
                  <w:r>
                    <w:rPr>
                      <w:rFonts w:ascii="Times New Roman" w:hAnsi="Times New Roman" w:cs="Times New Roman"/>
                      <w:sz w:val="20"/>
                      <w:szCs w:val="20"/>
                    </w:rPr>
                    <w:t xml:space="preserve">(pour les souches bénéfiques) </w:t>
                  </w:r>
                  <w:r w:rsidRPr="003468B2">
                    <w:rPr>
                      <w:rFonts w:ascii="Times New Roman" w:hAnsi="Times New Roman" w:cs="Times New Roman"/>
                      <w:sz w:val="20"/>
                      <w:szCs w:val="20"/>
                    </w:rPr>
                    <w:t>UFC/ml et utilisé à 1% (1 :1). Les valeurs représentent la moyenne (m) de 9 déterminations ±S</w:t>
                  </w:r>
                  <w:r>
                    <w:rPr>
                      <w:rFonts w:ascii="Times New Roman" w:hAnsi="Times New Roman" w:cs="Times New Roman"/>
                      <w:sz w:val="20"/>
                      <w:szCs w:val="20"/>
                    </w:rPr>
                    <w:t>EM</w:t>
                  </w:r>
                  <w:r w:rsidRPr="003468B2">
                    <w:rPr>
                      <w:rFonts w:ascii="Times New Roman" w:hAnsi="Times New Roman" w:cs="Times New Roman"/>
                      <w:sz w:val="20"/>
                      <w:szCs w:val="20"/>
                    </w:rPr>
                    <w:t xml:space="preserve"> (n</w:t>
                  </w:r>
                  <w:r>
                    <w:rPr>
                      <w:rFonts w:ascii="Times New Roman" w:hAnsi="Times New Roman" w:cs="Times New Roman"/>
                      <w:sz w:val="20"/>
                      <w:szCs w:val="20"/>
                    </w:rPr>
                    <w:t xml:space="preserve"> </w:t>
                  </w:r>
                  <w:r w:rsidRPr="003468B2">
                    <w:rPr>
                      <w:rFonts w:ascii="Times New Roman" w:hAnsi="Times New Roman" w:cs="Times New Roman"/>
                      <w:sz w:val="20"/>
                      <w:szCs w:val="20"/>
                    </w:rPr>
                    <w:t>=</w:t>
                  </w:r>
                  <w:r>
                    <w:rPr>
                      <w:rFonts w:ascii="Times New Roman" w:hAnsi="Times New Roman" w:cs="Times New Roman"/>
                      <w:sz w:val="20"/>
                      <w:szCs w:val="20"/>
                    </w:rPr>
                    <w:t xml:space="preserve"> 9</w:t>
                  </w:r>
                  <w:r w:rsidRPr="003468B2">
                    <w:rPr>
                      <w:rFonts w:ascii="Times New Roman" w:hAnsi="Times New Roman" w:cs="Times New Roman"/>
                      <w:sz w:val="20"/>
                      <w:szCs w:val="20"/>
                    </w:rPr>
                    <w:t>).</w:t>
                  </w:r>
                  <w:r>
                    <w:rPr>
                      <w:rFonts w:ascii="Times New Roman" w:hAnsi="Times New Roman" w:cs="Times New Roman"/>
                      <w:sz w:val="20"/>
                      <w:szCs w:val="20"/>
                    </w:rPr>
                    <w:t xml:space="preserve"> </w:t>
                  </w:r>
                  <w:r w:rsidRPr="003468B2">
                    <w:rPr>
                      <w:rFonts w:ascii="Times New Roman" w:hAnsi="Times New Roman" w:cs="Times New Roman"/>
                      <w:sz w:val="20"/>
                      <w:szCs w:val="20"/>
                    </w:rPr>
                    <w:t>T0</w:t>
                  </w:r>
                  <w:r>
                    <w:rPr>
                      <w:rFonts w:ascii="Times New Roman" w:hAnsi="Times New Roman" w:cs="Times New Roman"/>
                      <w:sz w:val="20"/>
                      <w:szCs w:val="20"/>
                    </w:rPr>
                    <w:t xml:space="preserve"> </w:t>
                  </w:r>
                  <w:r w:rsidRPr="003468B2">
                    <w:rPr>
                      <w:rFonts w:ascii="Times New Roman" w:hAnsi="Times New Roman" w:cs="Times New Roman"/>
                      <w:sz w:val="20"/>
                      <w:szCs w:val="20"/>
                    </w:rPr>
                    <w:t>= 0h ; T1</w:t>
                  </w:r>
                  <w:r>
                    <w:rPr>
                      <w:rFonts w:ascii="Times New Roman" w:hAnsi="Times New Roman" w:cs="Times New Roman"/>
                      <w:sz w:val="20"/>
                      <w:szCs w:val="20"/>
                    </w:rPr>
                    <w:t xml:space="preserve"> </w:t>
                  </w:r>
                  <w:r w:rsidRPr="003468B2">
                    <w:rPr>
                      <w:rFonts w:ascii="Times New Roman" w:hAnsi="Times New Roman" w:cs="Times New Roman"/>
                      <w:sz w:val="20"/>
                      <w:szCs w:val="20"/>
                    </w:rPr>
                    <w:t>=</w:t>
                  </w:r>
                  <w:r>
                    <w:rPr>
                      <w:rFonts w:ascii="Times New Roman" w:hAnsi="Times New Roman" w:cs="Times New Roman"/>
                      <w:sz w:val="20"/>
                      <w:szCs w:val="20"/>
                    </w:rPr>
                    <w:t xml:space="preserve"> </w:t>
                  </w:r>
                  <w:r w:rsidRPr="003468B2">
                    <w:rPr>
                      <w:rFonts w:ascii="Times New Roman" w:hAnsi="Times New Roman" w:cs="Times New Roman"/>
                      <w:sz w:val="20"/>
                      <w:szCs w:val="20"/>
                    </w:rPr>
                    <w:t>2h ; T2</w:t>
                  </w:r>
                  <w:r>
                    <w:rPr>
                      <w:rFonts w:ascii="Times New Roman" w:hAnsi="Times New Roman" w:cs="Times New Roman"/>
                      <w:sz w:val="20"/>
                      <w:szCs w:val="20"/>
                    </w:rPr>
                    <w:t xml:space="preserve"> </w:t>
                  </w:r>
                  <w:r w:rsidRPr="003468B2">
                    <w:rPr>
                      <w:rFonts w:ascii="Times New Roman" w:hAnsi="Times New Roman" w:cs="Times New Roman"/>
                      <w:sz w:val="20"/>
                      <w:szCs w:val="20"/>
                    </w:rPr>
                    <w:t>=</w:t>
                  </w:r>
                  <w:r>
                    <w:rPr>
                      <w:rFonts w:ascii="Times New Roman" w:hAnsi="Times New Roman" w:cs="Times New Roman"/>
                      <w:sz w:val="20"/>
                      <w:szCs w:val="20"/>
                    </w:rPr>
                    <w:t xml:space="preserve"> </w:t>
                  </w:r>
                  <w:r w:rsidRPr="003468B2">
                    <w:rPr>
                      <w:rFonts w:ascii="Times New Roman" w:hAnsi="Times New Roman" w:cs="Times New Roman"/>
                      <w:sz w:val="20"/>
                      <w:szCs w:val="20"/>
                    </w:rPr>
                    <w:t>4h, T3</w:t>
                  </w:r>
                  <w:r>
                    <w:rPr>
                      <w:rFonts w:ascii="Times New Roman" w:hAnsi="Times New Roman" w:cs="Times New Roman"/>
                      <w:sz w:val="20"/>
                      <w:szCs w:val="20"/>
                    </w:rPr>
                    <w:t xml:space="preserve"> </w:t>
                  </w:r>
                  <w:r w:rsidRPr="003468B2">
                    <w:rPr>
                      <w:rFonts w:ascii="Times New Roman" w:hAnsi="Times New Roman" w:cs="Times New Roman"/>
                      <w:sz w:val="20"/>
                      <w:szCs w:val="20"/>
                    </w:rPr>
                    <w:t>=</w:t>
                  </w:r>
                  <w:r>
                    <w:rPr>
                      <w:rFonts w:ascii="Times New Roman" w:hAnsi="Times New Roman" w:cs="Times New Roman"/>
                      <w:sz w:val="20"/>
                      <w:szCs w:val="20"/>
                    </w:rPr>
                    <w:t xml:space="preserve"> temps </w:t>
                  </w:r>
                  <w:r w:rsidRPr="003468B2">
                    <w:rPr>
                      <w:rFonts w:ascii="Times New Roman" w:hAnsi="Times New Roman" w:cs="Times New Roman"/>
                      <w:sz w:val="20"/>
                      <w:szCs w:val="20"/>
                    </w:rPr>
                    <w:t>de coagulation (pH</w:t>
                  </w:r>
                  <w:r>
                    <w:rPr>
                      <w:rFonts w:ascii="Times New Roman" w:hAnsi="Times New Roman" w:cs="Times New Roman"/>
                      <w:sz w:val="20"/>
                      <w:szCs w:val="20"/>
                    </w:rPr>
                    <w:t xml:space="preserve"> </w:t>
                  </w:r>
                  <w:r w:rsidRPr="003468B2">
                    <w:rPr>
                      <w:rFonts w:ascii="Times New Roman" w:hAnsi="Times New Roman" w:cs="Times New Roman"/>
                      <w:sz w:val="20"/>
                      <w:szCs w:val="20"/>
                    </w:rPr>
                    <w:t>5).</w:t>
                  </w:r>
                </w:p>
                <w:p w:rsidR="00310CA5" w:rsidRDefault="00310CA5" w:rsidP="006C66E7"/>
              </w:txbxContent>
            </v:textbox>
          </v:shape>
        </w:pict>
      </w:r>
      <w:r>
        <w:rPr>
          <w:rFonts w:asciiTheme="majorBidi" w:hAnsiTheme="majorBidi" w:cstheme="majorBidi"/>
          <w:noProof/>
          <w:lang w:eastAsia="fr-FR"/>
        </w:rPr>
        <w:pict>
          <v:shape id="_x0000_s2064" type="#_x0000_t202" style="position:absolute;margin-left:9.6pt;margin-top:-8.15pt;width:427.5pt;height:689.25pt;z-index:251674624">
            <v:textbox>
              <w:txbxContent>
                <w:p w:rsidR="00310CA5" w:rsidRDefault="00310CA5" w:rsidP="006C66E7">
                  <w:pPr>
                    <w:ind w:firstLine="0"/>
                  </w:pPr>
                </w:p>
              </w:txbxContent>
            </v:textbox>
          </v:shape>
        </w:pict>
      </w:r>
      <w:r>
        <w:rPr>
          <w:rFonts w:asciiTheme="majorBidi" w:hAnsiTheme="majorBidi" w:cstheme="majorBidi"/>
          <w:noProof/>
          <w:lang w:eastAsia="fr-FR"/>
        </w:rPr>
        <w:pict>
          <v:shape id="_x0000_s2068" type="#_x0000_t202" style="position:absolute;margin-left:21.6pt;margin-top:349.6pt;width:211.5pt;height:185.25pt;z-index:251678720" strokecolor="white [3212]">
            <v:textbox>
              <w:txbxContent>
                <w:p w:rsidR="00310CA5" w:rsidRDefault="00310CA5" w:rsidP="006C66E7">
                  <w:pPr>
                    <w:ind w:firstLine="0"/>
                  </w:pPr>
                  <w:r w:rsidRPr="0003137F">
                    <w:rPr>
                      <w:noProof/>
                      <w:lang w:eastAsia="fr-FR"/>
                    </w:rPr>
                    <w:drawing>
                      <wp:inline distT="0" distB="0" distL="0" distR="0">
                        <wp:extent cx="2426970" cy="2143125"/>
                        <wp:effectExtent l="38100" t="0" r="11430" b="0"/>
                        <wp:docPr id="58" name="Graphique 5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txbxContent>
            </v:textbox>
          </v:shape>
        </w:pict>
      </w:r>
      <w:r>
        <w:rPr>
          <w:rFonts w:asciiTheme="majorBidi" w:hAnsiTheme="majorBidi" w:cstheme="majorBidi"/>
          <w:noProof/>
          <w:lang w:eastAsia="fr-FR"/>
        </w:rPr>
        <w:pict>
          <v:shape id="_x0000_s2069" type="#_x0000_t202" style="position:absolute;margin-left:242.85pt;margin-top:349.6pt;width:187.5pt;height:185.25pt;z-index:251679744" strokecolor="white [3212]">
            <v:textbox>
              <w:txbxContent>
                <w:p w:rsidR="00310CA5" w:rsidRPr="0003137F" w:rsidRDefault="00310CA5" w:rsidP="006C66E7">
                  <w:pPr>
                    <w:ind w:firstLine="0"/>
                  </w:pPr>
                  <w:r w:rsidRPr="0003137F">
                    <w:rPr>
                      <w:noProof/>
                      <w:lang w:eastAsia="fr-FR"/>
                    </w:rPr>
                    <w:drawing>
                      <wp:inline distT="0" distB="0" distL="0" distR="0">
                        <wp:extent cx="2188845" cy="2124075"/>
                        <wp:effectExtent l="19050" t="19050" r="20955" b="0"/>
                        <wp:docPr id="59" name="Graphique 5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txbxContent>
            </v:textbox>
          </v:shape>
        </w:pict>
      </w:r>
      <w:r>
        <w:rPr>
          <w:rFonts w:asciiTheme="majorBidi" w:hAnsiTheme="majorBidi" w:cstheme="majorBidi"/>
          <w:noProof/>
          <w:lang w:eastAsia="fr-FR"/>
        </w:rPr>
        <w:pict>
          <v:shape id="_x0000_s2067" type="#_x0000_t202" style="position:absolute;margin-left:128.1pt;margin-top:176.35pt;width:203.25pt;height:184.5pt;z-index:251677696" strokecolor="white [3212]">
            <v:textbox>
              <w:txbxContent>
                <w:p w:rsidR="00310CA5" w:rsidRDefault="00310CA5" w:rsidP="006C66E7">
                  <w:pPr>
                    <w:ind w:firstLine="0"/>
                  </w:pPr>
                  <w:r w:rsidRPr="0003137F">
                    <w:rPr>
                      <w:noProof/>
                      <w:lang w:eastAsia="fr-FR"/>
                    </w:rPr>
                    <w:drawing>
                      <wp:inline distT="0" distB="0" distL="0" distR="0">
                        <wp:extent cx="2388870" cy="2085975"/>
                        <wp:effectExtent l="57150" t="19050" r="11430" b="0"/>
                        <wp:docPr id="57" name="Graphique 5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txbxContent>
            </v:textbox>
          </v:shape>
        </w:pict>
      </w:r>
      <w:r>
        <w:rPr>
          <w:rFonts w:asciiTheme="majorBidi" w:hAnsiTheme="majorBidi" w:cstheme="majorBidi"/>
          <w:noProof/>
          <w:lang w:eastAsia="fr-FR"/>
        </w:rPr>
        <w:pict>
          <v:shape id="_x0000_s2066" type="#_x0000_t202" style="position:absolute;margin-left:233.1pt;margin-top:5.35pt;width:197.25pt;height:186pt;z-index:251676672" strokecolor="white [3212]">
            <v:textbox>
              <w:txbxContent>
                <w:p w:rsidR="00310CA5" w:rsidRPr="0003137F" w:rsidRDefault="00310CA5" w:rsidP="006C66E7">
                  <w:pPr>
                    <w:ind w:firstLine="0"/>
                  </w:pPr>
                  <w:r w:rsidRPr="0003137F">
                    <w:rPr>
                      <w:noProof/>
                      <w:lang w:eastAsia="fr-FR"/>
                    </w:rPr>
                    <w:drawing>
                      <wp:inline distT="0" distB="0" distL="0" distR="0">
                        <wp:extent cx="2274570" cy="2047875"/>
                        <wp:effectExtent l="57150" t="19050" r="11430" b="0"/>
                        <wp:docPr id="56" name="Graphique 5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txbxContent>
            </v:textbox>
          </v:shape>
        </w:pict>
      </w:r>
      <w:r>
        <w:rPr>
          <w:rFonts w:asciiTheme="majorBidi" w:hAnsiTheme="majorBidi" w:cstheme="majorBidi"/>
          <w:noProof/>
          <w:lang w:eastAsia="fr-FR"/>
        </w:rPr>
        <w:pict>
          <v:shape id="_x0000_s2065" type="#_x0000_t202" style="position:absolute;margin-left:17.1pt;margin-top:5.35pt;width:209.25pt;height:186pt;z-index:251675648" strokecolor="white [3212]">
            <v:textbox>
              <w:txbxContent>
                <w:p w:rsidR="00310CA5" w:rsidRDefault="00310CA5" w:rsidP="006C66E7">
                  <w:pPr>
                    <w:ind w:firstLine="0"/>
                  </w:pPr>
                  <w:r w:rsidRPr="0003137F">
                    <w:rPr>
                      <w:noProof/>
                      <w:lang w:eastAsia="fr-FR"/>
                    </w:rPr>
                    <w:drawing>
                      <wp:inline distT="0" distB="0" distL="0" distR="0">
                        <wp:extent cx="2465070" cy="1990725"/>
                        <wp:effectExtent l="57150" t="19050" r="11430" b="0"/>
                        <wp:docPr id="55" name="Graphique 5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xbxContent>
            </v:textbox>
          </v:shape>
        </w:pict>
      </w:r>
      <w:r w:rsidR="006C66E7">
        <w:rPr>
          <w:rFonts w:asciiTheme="majorBidi" w:hAnsiTheme="majorBidi" w:cstheme="majorBidi"/>
        </w:rPr>
        <w:br w:type="page"/>
      </w:r>
    </w:p>
    <w:p w:rsidR="006C66E7" w:rsidRDefault="006C66E7" w:rsidP="005D3B01">
      <w:pPr>
        <w:spacing w:before="0" w:after="0" w:line="360" w:lineRule="auto"/>
        <w:ind w:left="1418" w:hanging="1418"/>
        <w:jc w:val="both"/>
        <w:rPr>
          <w:rFonts w:asciiTheme="majorBidi" w:hAnsiTheme="majorBidi" w:cstheme="majorBidi"/>
          <w:b/>
          <w:bCs/>
        </w:rPr>
      </w:pPr>
      <w:r w:rsidRPr="00271B66">
        <w:rPr>
          <w:rFonts w:asciiTheme="majorBidi" w:hAnsiTheme="majorBidi" w:cstheme="majorBidi"/>
          <w:b/>
          <w:bCs/>
          <w:u w:val="single"/>
        </w:rPr>
        <w:lastRenderedPageBreak/>
        <w:t>Tableau 1</w:t>
      </w:r>
      <w:r>
        <w:rPr>
          <w:rFonts w:asciiTheme="majorBidi" w:hAnsiTheme="majorBidi" w:cstheme="majorBidi"/>
          <w:b/>
          <w:bCs/>
          <w:u w:val="single"/>
        </w:rPr>
        <w:t>5</w:t>
      </w:r>
      <w:r w:rsidRPr="00271B66">
        <w:rPr>
          <w:rFonts w:asciiTheme="majorBidi" w:hAnsiTheme="majorBidi" w:cstheme="majorBidi"/>
          <w:b/>
          <w:bCs/>
        </w:rPr>
        <w:t> : Taux de diminution du pH (= ΔpH en%) entre le début de fermentation et le point de coagulation du lait ; et vitesse spécifique maximale d’acidification (V</w:t>
      </w:r>
      <w:r w:rsidRPr="00271B66">
        <w:rPr>
          <w:rFonts w:asciiTheme="majorBidi" w:hAnsiTheme="majorBidi" w:cstheme="majorBidi"/>
          <w:b/>
          <w:bCs/>
          <w:vertAlign w:val="subscript"/>
        </w:rPr>
        <w:t xml:space="preserve">A </w:t>
      </w:r>
      <w:r w:rsidRPr="00271B66">
        <w:rPr>
          <w:rFonts w:asciiTheme="majorBidi" w:hAnsiTheme="majorBidi" w:cstheme="majorBidi"/>
          <w:b/>
          <w:bCs/>
        </w:rPr>
        <w:t>= ΔpH / Δt en h</w:t>
      </w:r>
      <w:r w:rsidRPr="00271B66">
        <w:rPr>
          <w:rFonts w:asciiTheme="majorBidi" w:hAnsiTheme="majorBidi" w:cstheme="majorBidi"/>
          <w:b/>
          <w:bCs/>
          <w:vertAlign w:val="superscript"/>
        </w:rPr>
        <w:t>-1</w:t>
      </w:r>
      <w:r w:rsidRPr="00271B66">
        <w:rPr>
          <w:rFonts w:asciiTheme="majorBidi" w:hAnsiTheme="majorBidi" w:cstheme="majorBidi"/>
          <w:b/>
          <w:bCs/>
        </w:rPr>
        <w:t>)</w:t>
      </w:r>
      <w:r>
        <w:rPr>
          <w:rFonts w:asciiTheme="majorBidi" w:hAnsiTheme="majorBidi" w:cstheme="majorBidi"/>
          <w:b/>
          <w:bCs/>
        </w:rPr>
        <w:t xml:space="preserve"> dans les différents cocultures réalisées</w:t>
      </w:r>
      <w:r w:rsidRPr="00271B66">
        <w:rPr>
          <w:rFonts w:asciiTheme="majorBidi" w:hAnsiTheme="majorBidi" w:cstheme="majorBidi"/>
          <w:b/>
          <w:bCs/>
        </w:rPr>
        <w:t>.</w:t>
      </w:r>
    </w:p>
    <w:p w:rsidR="006C66E7" w:rsidRPr="00271B66" w:rsidRDefault="006C66E7" w:rsidP="006C66E7">
      <w:pPr>
        <w:spacing w:before="0" w:after="0"/>
        <w:ind w:hanging="1559"/>
        <w:jc w:val="both"/>
        <w:rPr>
          <w:rFonts w:asciiTheme="majorBidi" w:hAnsiTheme="majorBidi" w:cstheme="majorBidi"/>
          <w:b/>
          <w:bCs/>
        </w:rPr>
      </w:pPr>
    </w:p>
    <w:tbl>
      <w:tblPr>
        <w:tblStyle w:val="Grilledutableau"/>
        <w:tblW w:w="9781" w:type="dxa"/>
        <w:tblInd w:w="-459" w:type="dxa"/>
        <w:tblBorders>
          <w:left w:val="none" w:sz="0" w:space="0" w:color="auto"/>
          <w:right w:val="none" w:sz="0" w:space="0" w:color="auto"/>
          <w:insideV w:val="none" w:sz="0" w:space="0" w:color="auto"/>
        </w:tblBorders>
        <w:tblLayout w:type="fixed"/>
        <w:tblLook w:val="04A0"/>
      </w:tblPr>
      <w:tblGrid>
        <w:gridCol w:w="2552"/>
        <w:gridCol w:w="850"/>
        <w:gridCol w:w="851"/>
        <w:gridCol w:w="709"/>
        <w:gridCol w:w="850"/>
        <w:gridCol w:w="709"/>
        <w:gridCol w:w="850"/>
        <w:gridCol w:w="851"/>
        <w:gridCol w:w="850"/>
        <w:gridCol w:w="709"/>
      </w:tblGrid>
      <w:tr w:rsidR="006C66E7" w:rsidRPr="002F10BA" w:rsidTr="006C66E7">
        <w:tc>
          <w:tcPr>
            <w:tcW w:w="2552" w:type="dxa"/>
            <w:vMerge w:val="restart"/>
          </w:tcPr>
          <w:p w:rsidR="006C66E7" w:rsidRPr="002F10BA" w:rsidRDefault="006C66E7" w:rsidP="005D3B01">
            <w:pPr>
              <w:spacing w:before="0" w:after="0" w:line="480" w:lineRule="auto"/>
              <w:ind w:firstLine="33"/>
              <w:rPr>
                <w:rFonts w:asciiTheme="majorBidi" w:hAnsiTheme="majorBidi" w:cstheme="majorBidi"/>
                <w:b/>
                <w:bCs/>
                <w:sz w:val="18"/>
                <w:szCs w:val="18"/>
              </w:rPr>
            </w:pPr>
          </w:p>
          <w:p w:rsidR="006C66E7" w:rsidRPr="002F10BA" w:rsidRDefault="006C66E7" w:rsidP="005D3B01">
            <w:pPr>
              <w:spacing w:before="0" w:after="0" w:line="480" w:lineRule="auto"/>
              <w:rPr>
                <w:rFonts w:asciiTheme="majorBidi" w:hAnsiTheme="majorBidi" w:cstheme="majorBidi"/>
                <w:b/>
                <w:bCs/>
                <w:sz w:val="18"/>
                <w:szCs w:val="18"/>
              </w:rPr>
            </w:pPr>
          </w:p>
          <w:p w:rsidR="006C66E7" w:rsidRPr="002F10BA" w:rsidRDefault="006C66E7" w:rsidP="005D3B01">
            <w:pPr>
              <w:spacing w:before="0" w:after="0" w:line="480" w:lineRule="auto"/>
              <w:ind w:firstLine="0"/>
              <w:rPr>
                <w:rFonts w:asciiTheme="majorBidi" w:hAnsiTheme="majorBidi" w:cstheme="majorBidi"/>
                <w:b/>
                <w:bCs/>
                <w:sz w:val="18"/>
                <w:szCs w:val="18"/>
              </w:rPr>
            </w:pPr>
            <w:r w:rsidRPr="002F10BA">
              <w:rPr>
                <w:rFonts w:asciiTheme="majorBidi" w:hAnsiTheme="majorBidi" w:cstheme="majorBidi"/>
                <w:b/>
                <w:bCs/>
                <w:sz w:val="18"/>
                <w:szCs w:val="18"/>
              </w:rPr>
              <w:t>Types de culture</w:t>
            </w:r>
          </w:p>
        </w:tc>
        <w:tc>
          <w:tcPr>
            <w:tcW w:w="850" w:type="dxa"/>
            <w:vMerge w:val="restart"/>
          </w:tcPr>
          <w:p w:rsidR="006C66E7" w:rsidRPr="002F10BA" w:rsidRDefault="006C66E7" w:rsidP="005D3B01">
            <w:pPr>
              <w:spacing w:before="0" w:after="0" w:line="480" w:lineRule="auto"/>
              <w:ind w:firstLine="0"/>
              <w:rPr>
                <w:rFonts w:asciiTheme="majorBidi" w:hAnsiTheme="majorBidi" w:cstheme="majorBidi"/>
                <w:b/>
                <w:bCs/>
                <w:sz w:val="18"/>
                <w:szCs w:val="18"/>
              </w:rPr>
            </w:pPr>
            <w:r w:rsidRPr="002F10BA">
              <w:rPr>
                <w:rFonts w:asciiTheme="majorBidi" w:hAnsiTheme="majorBidi" w:cstheme="majorBidi"/>
                <w:b/>
                <w:bCs/>
                <w:sz w:val="18"/>
                <w:szCs w:val="18"/>
              </w:rPr>
              <w:t>Témoin</w:t>
            </w:r>
          </w:p>
        </w:tc>
        <w:tc>
          <w:tcPr>
            <w:tcW w:w="6379" w:type="dxa"/>
            <w:gridSpan w:val="8"/>
          </w:tcPr>
          <w:p w:rsidR="006C66E7" w:rsidRPr="002F10BA" w:rsidRDefault="006C66E7" w:rsidP="005D3B01">
            <w:pPr>
              <w:spacing w:before="0" w:after="0" w:line="480" w:lineRule="auto"/>
              <w:jc w:val="center"/>
              <w:rPr>
                <w:rFonts w:asciiTheme="majorBidi" w:hAnsiTheme="majorBidi" w:cstheme="majorBidi"/>
                <w:b/>
                <w:bCs/>
                <w:sz w:val="18"/>
                <w:szCs w:val="18"/>
              </w:rPr>
            </w:pPr>
            <w:r w:rsidRPr="002F10BA">
              <w:rPr>
                <w:rFonts w:asciiTheme="majorBidi" w:hAnsiTheme="majorBidi" w:cstheme="majorBidi"/>
                <w:b/>
                <w:bCs/>
                <w:sz w:val="18"/>
                <w:szCs w:val="18"/>
              </w:rPr>
              <w:t>Echantillon avec ingrédients</w:t>
            </w:r>
          </w:p>
        </w:tc>
      </w:tr>
      <w:tr w:rsidR="006C66E7" w:rsidRPr="002F10BA" w:rsidTr="006C66E7">
        <w:tc>
          <w:tcPr>
            <w:tcW w:w="2552" w:type="dxa"/>
            <w:vMerge/>
          </w:tcPr>
          <w:p w:rsidR="006C66E7" w:rsidRPr="002F10BA" w:rsidRDefault="006C66E7" w:rsidP="005D3B01">
            <w:pPr>
              <w:spacing w:before="0" w:after="0" w:line="480" w:lineRule="auto"/>
              <w:rPr>
                <w:rFonts w:asciiTheme="majorBidi" w:hAnsiTheme="majorBidi" w:cstheme="majorBidi"/>
                <w:b/>
                <w:bCs/>
                <w:sz w:val="18"/>
                <w:szCs w:val="18"/>
              </w:rPr>
            </w:pPr>
          </w:p>
        </w:tc>
        <w:tc>
          <w:tcPr>
            <w:tcW w:w="850" w:type="dxa"/>
            <w:vMerge/>
          </w:tcPr>
          <w:p w:rsidR="006C66E7" w:rsidRPr="002F10BA" w:rsidRDefault="006C66E7" w:rsidP="005D3B01">
            <w:pPr>
              <w:spacing w:before="0" w:after="0" w:line="480" w:lineRule="auto"/>
              <w:rPr>
                <w:rFonts w:asciiTheme="majorBidi" w:hAnsiTheme="majorBidi" w:cstheme="majorBidi"/>
                <w:b/>
                <w:bCs/>
                <w:sz w:val="18"/>
                <w:szCs w:val="18"/>
              </w:rPr>
            </w:pPr>
          </w:p>
        </w:tc>
        <w:tc>
          <w:tcPr>
            <w:tcW w:w="1560" w:type="dxa"/>
            <w:gridSpan w:val="2"/>
          </w:tcPr>
          <w:p w:rsidR="006C66E7" w:rsidRPr="002F10BA" w:rsidRDefault="006C66E7" w:rsidP="005D3B01">
            <w:pPr>
              <w:spacing w:before="0" w:after="0" w:line="480" w:lineRule="auto"/>
              <w:ind w:firstLine="0"/>
              <w:jc w:val="center"/>
              <w:rPr>
                <w:rFonts w:asciiTheme="majorBidi" w:hAnsiTheme="majorBidi" w:cstheme="majorBidi"/>
                <w:b/>
                <w:bCs/>
                <w:sz w:val="18"/>
                <w:szCs w:val="18"/>
              </w:rPr>
            </w:pPr>
            <w:r w:rsidRPr="002F10BA">
              <w:rPr>
                <w:rFonts w:asciiTheme="majorBidi" w:hAnsiTheme="majorBidi" w:cstheme="majorBidi"/>
                <w:b/>
                <w:bCs/>
                <w:sz w:val="18"/>
                <w:szCs w:val="18"/>
              </w:rPr>
              <w:t>Lactosérum doux</w:t>
            </w:r>
          </w:p>
        </w:tc>
        <w:tc>
          <w:tcPr>
            <w:tcW w:w="1559" w:type="dxa"/>
            <w:gridSpan w:val="2"/>
          </w:tcPr>
          <w:p w:rsidR="006C66E7" w:rsidRPr="002F10BA" w:rsidRDefault="006C66E7" w:rsidP="005D3B01">
            <w:pPr>
              <w:spacing w:before="0" w:after="0" w:line="480" w:lineRule="auto"/>
              <w:ind w:firstLine="0"/>
              <w:rPr>
                <w:rFonts w:asciiTheme="majorBidi" w:hAnsiTheme="majorBidi" w:cstheme="majorBidi"/>
                <w:b/>
                <w:bCs/>
                <w:sz w:val="18"/>
                <w:szCs w:val="18"/>
              </w:rPr>
            </w:pPr>
            <w:r w:rsidRPr="002F10BA">
              <w:rPr>
                <w:rFonts w:asciiTheme="majorBidi" w:hAnsiTheme="majorBidi" w:cstheme="majorBidi"/>
                <w:b/>
                <w:bCs/>
                <w:sz w:val="18"/>
                <w:szCs w:val="18"/>
              </w:rPr>
              <w:t>Promilk 852A2</w:t>
            </w:r>
          </w:p>
        </w:tc>
        <w:tc>
          <w:tcPr>
            <w:tcW w:w="1701" w:type="dxa"/>
            <w:gridSpan w:val="2"/>
          </w:tcPr>
          <w:p w:rsidR="006C66E7" w:rsidRPr="002F10BA" w:rsidRDefault="006C66E7" w:rsidP="005D3B01">
            <w:pPr>
              <w:spacing w:before="0" w:after="0" w:line="480" w:lineRule="auto"/>
              <w:ind w:firstLine="0"/>
              <w:rPr>
                <w:rFonts w:asciiTheme="majorBidi" w:hAnsiTheme="majorBidi" w:cstheme="majorBidi"/>
                <w:b/>
                <w:bCs/>
                <w:sz w:val="18"/>
                <w:szCs w:val="18"/>
              </w:rPr>
            </w:pPr>
            <w:r w:rsidRPr="002F10BA">
              <w:rPr>
                <w:rFonts w:asciiTheme="majorBidi" w:hAnsiTheme="majorBidi" w:cstheme="majorBidi"/>
                <w:b/>
                <w:bCs/>
                <w:sz w:val="18"/>
                <w:szCs w:val="18"/>
              </w:rPr>
              <w:t>Promilk C502</w:t>
            </w:r>
          </w:p>
        </w:tc>
        <w:tc>
          <w:tcPr>
            <w:tcW w:w="1559" w:type="dxa"/>
            <w:gridSpan w:val="2"/>
          </w:tcPr>
          <w:p w:rsidR="006C66E7" w:rsidRPr="002F10BA" w:rsidRDefault="006C66E7" w:rsidP="005D3B01">
            <w:pPr>
              <w:spacing w:before="0" w:after="0" w:line="480" w:lineRule="auto"/>
              <w:ind w:firstLine="0"/>
              <w:jc w:val="center"/>
              <w:rPr>
                <w:rFonts w:asciiTheme="majorBidi" w:hAnsiTheme="majorBidi" w:cstheme="majorBidi"/>
                <w:b/>
                <w:bCs/>
                <w:sz w:val="20"/>
                <w:szCs w:val="20"/>
              </w:rPr>
            </w:pPr>
            <w:r w:rsidRPr="002F10BA">
              <w:rPr>
                <w:rFonts w:asciiTheme="majorBidi" w:hAnsiTheme="majorBidi" w:cstheme="majorBidi"/>
                <w:b/>
                <w:bCs/>
                <w:sz w:val="20"/>
                <w:szCs w:val="20"/>
              </w:rPr>
              <w:t>Hydrolysat de caséine</w:t>
            </w:r>
          </w:p>
        </w:tc>
      </w:tr>
      <w:tr w:rsidR="006C66E7" w:rsidRPr="002F10BA" w:rsidTr="006C66E7">
        <w:tc>
          <w:tcPr>
            <w:tcW w:w="2552" w:type="dxa"/>
            <w:vMerge/>
          </w:tcPr>
          <w:p w:rsidR="006C66E7" w:rsidRPr="002F10BA" w:rsidRDefault="006C66E7" w:rsidP="005D3B01">
            <w:pPr>
              <w:spacing w:before="0" w:after="0" w:line="480" w:lineRule="auto"/>
              <w:rPr>
                <w:rFonts w:asciiTheme="majorBidi" w:hAnsiTheme="majorBidi" w:cstheme="majorBidi"/>
                <w:b/>
                <w:bCs/>
                <w:sz w:val="18"/>
                <w:szCs w:val="18"/>
              </w:rPr>
            </w:pPr>
          </w:p>
        </w:tc>
        <w:tc>
          <w:tcPr>
            <w:tcW w:w="850" w:type="dxa"/>
            <w:vMerge/>
          </w:tcPr>
          <w:p w:rsidR="006C66E7" w:rsidRPr="002F10BA" w:rsidRDefault="006C66E7" w:rsidP="005D3B01">
            <w:pPr>
              <w:spacing w:before="0" w:after="0" w:line="480" w:lineRule="auto"/>
              <w:rPr>
                <w:rFonts w:asciiTheme="majorBidi" w:hAnsiTheme="majorBidi" w:cstheme="majorBidi"/>
                <w:b/>
                <w:bCs/>
                <w:sz w:val="18"/>
                <w:szCs w:val="18"/>
              </w:rPr>
            </w:pPr>
          </w:p>
        </w:tc>
        <w:tc>
          <w:tcPr>
            <w:tcW w:w="851" w:type="dxa"/>
          </w:tcPr>
          <w:p w:rsidR="006C66E7" w:rsidRPr="002F10BA" w:rsidRDefault="006C66E7" w:rsidP="005D3B01">
            <w:pPr>
              <w:spacing w:before="0" w:after="0" w:line="480" w:lineRule="auto"/>
              <w:ind w:firstLine="0"/>
              <w:rPr>
                <w:rFonts w:asciiTheme="majorBidi" w:hAnsiTheme="majorBidi" w:cstheme="majorBidi"/>
                <w:b/>
                <w:bCs/>
                <w:sz w:val="20"/>
                <w:szCs w:val="20"/>
              </w:rPr>
            </w:pPr>
            <w:r w:rsidRPr="002F10BA">
              <w:rPr>
                <w:rFonts w:asciiTheme="majorBidi" w:hAnsiTheme="majorBidi" w:cstheme="majorBidi"/>
                <w:b/>
                <w:bCs/>
                <w:sz w:val="20"/>
                <w:szCs w:val="20"/>
              </w:rPr>
              <w:t xml:space="preserve">ΔpH </w:t>
            </w:r>
          </w:p>
        </w:tc>
        <w:tc>
          <w:tcPr>
            <w:tcW w:w="709" w:type="dxa"/>
          </w:tcPr>
          <w:p w:rsidR="006C66E7" w:rsidRPr="002F10BA" w:rsidRDefault="006C66E7" w:rsidP="005D3B01">
            <w:pPr>
              <w:spacing w:before="0" w:after="0" w:line="480" w:lineRule="auto"/>
              <w:ind w:firstLine="0"/>
              <w:rPr>
                <w:rFonts w:asciiTheme="majorBidi" w:hAnsiTheme="majorBidi" w:cstheme="majorBidi"/>
                <w:b/>
                <w:bCs/>
                <w:sz w:val="20"/>
                <w:szCs w:val="20"/>
              </w:rPr>
            </w:pPr>
            <w:r w:rsidRPr="002F10BA">
              <w:rPr>
                <w:rFonts w:asciiTheme="majorBidi" w:hAnsiTheme="majorBidi" w:cstheme="majorBidi"/>
                <w:b/>
                <w:bCs/>
                <w:sz w:val="20"/>
                <w:szCs w:val="20"/>
              </w:rPr>
              <w:t>V</w:t>
            </w:r>
            <w:r w:rsidRPr="002F10BA">
              <w:rPr>
                <w:rFonts w:asciiTheme="majorBidi" w:hAnsiTheme="majorBidi" w:cstheme="majorBidi"/>
                <w:b/>
                <w:bCs/>
                <w:sz w:val="20"/>
                <w:szCs w:val="20"/>
                <w:vertAlign w:val="subscript"/>
              </w:rPr>
              <w:t>A</w:t>
            </w:r>
            <w:r w:rsidRPr="002F10BA">
              <w:rPr>
                <w:rFonts w:asciiTheme="majorBidi" w:hAnsiTheme="majorBidi" w:cstheme="majorBidi"/>
                <w:b/>
                <w:bCs/>
                <w:sz w:val="20"/>
                <w:szCs w:val="20"/>
              </w:rPr>
              <w:t xml:space="preserve"> </w:t>
            </w:r>
          </w:p>
        </w:tc>
        <w:tc>
          <w:tcPr>
            <w:tcW w:w="850" w:type="dxa"/>
          </w:tcPr>
          <w:p w:rsidR="006C66E7" w:rsidRPr="002F10BA" w:rsidRDefault="006C66E7" w:rsidP="005D3B01">
            <w:pPr>
              <w:spacing w:before="0" w:after="0" w:line="480" w:lineRule="auto"/>
              <w:ind w:firstLine="0"/>
              <w:rPr>
                <w:rFonts w:asciiTheme="majorBidi" w:hAnsiTheme="majorBidi" w:cstheme="majorBidi"/>
                <w:b/>
                <w:bCs/>
                <w:sz w:val="20"/>
                <w:szCs w:val="20"/>
              </w:rPr>
            </w:pPr>
            <w:r w:rsidRPr="002F10BA">
              <w:rPr>
                <w:rFonts w:asciiTheme="majorBidi" w:hAnsiTheme="majorBidi" w:cstheme="majorBidi"/>
                <w:b/>
                <w:bCs/>
                <w:sz w:val="20"/>
                <w:szCs w:val="20"/>
              </w:rPr>
              <w:t xml:space="preserve">ΔpH </w:t>
            </w:r>
          </w:p>
        </w:tc>
        <w:tc>
          <w:tcPr>
            <w:tcW w:w="709" w:type="dxa"/>
          </w:tcPr>
          <w:p w:rsidR="006C66E7" w:rsidRPr="002F10BA" w:rsidRDefault="006C66E7" w:rsidP="005D3B01">
            <w:pPr>
              <w:spacing w:before="0" w:after="0" w:line="480" w:lineRule="auto"/>
              <w:ind w:firstLine="0"/>
              <w:rPr>
                <w:rFonts w:asciiTheme="majorBidi" w:hAnsiTheme="majorBidi" w:cstheme="majorBidi"/>
                <w:b/>
                <w:bCs/>
                <w:sz w:val="20"/>
                <w:szCs w:val="20"/>
              </w:rPr>
            </w:pPr>
            <w:r w:rsidRPr="002F10BA">
              <w:rPr>
                <w:rFonts w:asciiTheme="majorBidi" w:hAnsiTheme="majorBidi" w:cstheme="majorBidi"/>
                <w:b/>
                <w:bCs/>
                <w:sz w:val="20"/>
                <w:szCs w:val="20"/>
              </w:rPr>
              <w:t>V</w:t>
            </w:r>
            <w:r w:rsidRPr="002F10BA">
              <w:rPr>
                <w:rFonts w:asciiTheme="majorBidi" w:hAnsiTheme="majorBidi" w:cstheme="majorBidi"/>
                <w:b/>
                <w:bCs/>
                <w:sz w:val="20"/>
                <w:szCs w:val="20"/>
                <w:vertAlign w:val="subscript"/>
              </w:rPr>
              <w:t>A</w:t>
            </w:r>
            <w:r w:rsidRPr="002F10BA">
              <w:rPr>
                <w:rFonts w:asciiTheme="majorBidi" w:hAnsiTheme="majorBidi" w:cstheme="majorBidi"/>
                <w:b/>
                <w:bCs/>
                <w:sz w:val="20"/>
                <w:szCs w:val="20"/>
              </w:rPr>
              <w:t xml:space="preserve"> </w:t>
            </w:r>
          </w:p>
        </w:tc>
        <w:tc>
          <w:tcPr>
            <w:tcW w:w="850" w:type="dxa"/>
          </w:tcPr>
          <w:p w:rsidR="006C66E7" w:rsidRPr="002F10BA" w:rsidRDefault="006C66E7" w:rsidP="005D3B01">
            <w:pPr>
              <w:spacing w:before="0" w:after="0" w:line="480" w:lineRule="auto"/>
              <w:ind w:firstLine="0"/>
              <w:rPr>
                <w:rFonts w:asciiTheme="majorBidi" w:hAnsiTheme="majorBidi" w:cstheme="majorBidi"/>
                <w:b/>
                <w:bCs/>
                <w:sz w:val="20"/>
                <w:szCs w:val="20"/>
              </w:rPr>
            </w:pPr>
            <w:r w:rsidRPr="002F10BA">
              <w:rPr>
                <w:rFonts w:asciiTheme="majorBidi" w:hAnsiTheme="majorBidi" w:cstheme="majorBidi"/>
                <w:b/>
                <w:bCs/>
                <w:sz w:val="20"/>
                <w:szCs w:val="20"/>
              </w:rPr>
              <w:t xml:space="preserve">ΔpH </w:t>
            </w:r>
          </w:p>
        </w:tc>
        <w:tc>
          <w:tcPr>
            <w:tcW w:w="851" w:type="dxa"/>
          </w:tcPr>
          <w:p w:rsidR="006C66E7" w:rsidRPr="002F10BA" w:rsidRDefault="006C66E7" w:rsidP="005D3B01">
            <w:pPr>
              <w:spacing w:before="0" w:after="0" w:line="480" w:lineRule="auto"/>
              <w:ind w:firstLine="0"/>
              <w:rPr>
                <w:rFonts w:asciiTheme="majorBidi" w:hAnsiTheme="majorBidi" w:cstheme="majorBidi"/>
                <w:b/>
                <w:bCs/>
                <w:sz w:val="20"/>
                <w:szCs w:val="20"/>
              </w:rPr>
            </w:pPr>
            <w:r w:rsidRPr="002F10BA">
              <w:rPr>
                <w:rFonts w:asciiTheme="majorBidi" w:hAnsiTheme="majorBidi" w:cstheme="majorBidi"/>
                <w:b/>
                <w:bCs/>
                <w:sz w:val="20"/>
                <w:szCs w:val="20"/>
              </w:rPr>
              <w:t>V</w:t>
            </w:r>
            <w:r w:rsidRPr="002F10BA">
              <w:rPr>
                <w:rFonts w:asciiTheme="majorBidi" w:hAnsiTheme="majorBidi" w:cstheme="majorBidi"/>
                <w:b/>
                <w:bCs/>
                <w:sz w:val="20"/>
                <w:szCs w:val="20"/>
                <w:vertAlign w:val="subscript"/>
              </w:rPr>
              <w:t>A</w:t>
            </w:r>
            <w:r w:rsidRPr="002F10BA">
              <w:rPr>
                <w:rFonts w:asciiTheme="majorBidi" w:hAnsiTheme="majorBidi" w:cstheme="majorBidi"/>
                <w:b/>
                <w:bCs/>
                <w:sz w:val="20"/>
                <w:szCs w:val="20"/>
              </w:rPr>
              <w:t xml:space="preserve"> </w:t>
            </w:r>
          </w:p>
        </w:tc>
        <w:tc>
          <w:tcPr>
            <w:tcW w:w="850" w:type="dxa"/>
          </w:tcPr>
          <w:p w:rsidR="006C66E7" w:rsidRPr="002F10BA" w:rsidRDefault="006C66E7" w:rsidP="005D3B01">
            <w:pPr>
              <w:spacing w:before="0" w:after="0" w:line="480" w:lineRule="auto"/>
              <w:ind w:firstLine="0"/>
              <w:rPr>
                <w:rFonts w:asciiTheme="majorBidi" w:hAnsiTheme="majorBidi" w:cstheme="majorBidi"/>
                <w:b/>
                <w:bCs/>
                <w:sz w:val="20"/>
                <w:szCs w:val="20"/>
              </w:rPr>
            </w:pPr>
            <w:r w:rsidRPr="002F10BA">
              <w:rPr>
                <w:rFonts w:asciiTheme="majorBidi" w:hAnsiTheme="majorBidi" w:cstheme="majorBidi"/>
                <w:b/>
                <w:bCs/>
                <w:sz w:val="20"/>
                <w:szCs w:val="20"/>
              </w:rPr>
              <w:t xml:space="preserve">ΔpH </w:t>
            </w:r>
          </w:p>
        </w:tc>
        <w:tc>
          <w:tcPr>
            <w:tcW w:w="709" w:type="dxa"/>
          </w:tcPr>
          <w:p w:rsidR="006C66E7" w:rsidRPr="002F10BA" w:rsidRDefault="006C66E7" w:rsidP="005D3B01">
            <w:pPr>
              <w:spacing w:before="0" w:after="0" w:line="480" w:lineRule="auto"/>
              <w:ind w:firstLine="0"/>
              <w:rPr>
                <w:rFonts w:asciiTheme="majorBidi" w:hAnsiTheme="majorBidi" w:cstheme="majorBidi"/>
                <w:b/>
                <w:bCs/>
                <w:sz w:val="20"/>
                <w:szCs w:val="20"/>
              </w:rPr>
            </w:pPr>
            <w:r w:rsidRPr="002F10BA">
              <w:rPr>
                <w:rFonts w:asciiTheme="majorBidi" w:hAnsiTheme="majorBidi" w:cstheme="majorBidi"/>
                <w:b/>
                <w:bCs/>
                <w:sz w:val="20"/>
                <w:szCs w:val="20"/>
              </w:rPr>
              <w:t>V</w:t>
            </w:r>
            <w:r w:rsidRPr="002F10BA">
              <w:rPr>
                <w:rFonts w:asciiTheme="majorBidi" w:hAnsiTheme="majorBidi" w:cstheme="majorBidi"/>
                <w:b/>
                <w:bCs/>
                <w:sz w:val="20"/>
                <w:szCs w:val="20"/>
                <w:vertAlign w:val="subscript"/>
              </w:rPr>
              <w:t>A</w:t>
            </w:r>
            <w:r w:rsidRPr="002F10BA">
              <w:rPr>
                <w:rFonts w:asciiTheme="majorBidi" w:hAnsiTheme="majorBidi" w:cstheme="majorBidi"/>
                <w:b/>
                <w:bCs/>
                <w:sz w:val="20"/>
                <w:szCs w:val="20"/>
              </w:rPr>
              <w:t xml:space="preserve"> </w:t>
            </w:r>
          </w:p>
        </w:tc>
      </w:tr>
      <w:tr w:rsidR="006C66E7" w:rsidRPr="002F10BA" w:rsidTr="006C66E7">
        <w:tc>
          <w:tcPr>
            <w:tcW w:w="2552"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b/>
                <w:bCs/>
                <w:sz w:val="20"/>
                <w:szCs w:val="20"/>
              </w:rPr>
              <w:t>BLR</w:t>
            </w:r>
            <w:r w:rsidRPr="002F10BA">
              <w:rPr>
                <w:rFonts w:asciiTheme="majorBidi" w:hAnsiTheme="majorBidi" w:cstheme="majorBidi"/>
                <w:sz w:val="20"/>
                <w:szCs w:val="20"/>
              </w:rPr>
              <w:t>+St+Lb</w:t>
            </w:r>
            <w:r w:rsidRPr="002F10BA">
              <w:rPr>
                <w:rFonts w:asciiTheme="majorBidi" w:hAnsiTheme="majorBidi" w:cstheme="majorBidi"/>
                <w:sz w:val="20"/>
                <w:szCs w:val="20"/>
                <w:vertAlign w:val="subscript"/>
              </w:rPr>
              <w:t>b</w:t>
            </w:r>
          </w:p>
        </w:tc>
        <w:tc>
          <w:tcPr>
            <w:tcW w:w="850"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0.25</w:t>
            </w:r>
          </w:p>
        </w:tc>
        <w:tc>
          <w:tcPr>
            <w:tcW w:w="851"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22.43</w:t>
            </w:r>
          </w:p>
        </w:tc>
        <w:tc>
          <w:tcPr>
            <w:tcW w:w="709"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0.35</w:t>
            </w:r>
          </w:p>
        </w:tc>
        <w:tc>
          <w:tcPr>
            <w:tcW w:w="850"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24.96</w:t>
            </w:r>
          </w:p>
        </w:tc>
        <w:tc>
          <w:tcPr>
            <w:tcW w:w="709"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0.3</w:t>
            </w:r>
          </w:p>
        </w:tc>
        <w:tc>
          <w:tcPr>
            <w:tcW w:w="850"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24.61</w:t>
            </w:r>
          </w:p>
        </w:tc>
        <w:tc>
          <w:tcPr>
            <w:tcW w:w="851"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0.35</w:t>
            </w:r>
          </w:p>
        </w:tc>
        <w:tc>
          <w:tcPr>
            <w:tcW w:w="850"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24.58</w:t>
            </w:r>
          </w:p>
        </w:tc>
        <w:tc>
          <w:tcPr>
            <w:tcW w:w="709"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0.34</w:t>
            </w:r>
          </w:p>
        </w:tc>
      </w:tr>
      <w:tr w:rsidR="006C66E7" w:rsidRPr="002F10BA" w:rsidTr="006C66E7">
        <w:tc>
          <w:tcPr>
            <w:tcW w:w="2552"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b/>
                <w:bCs/>
                <w:sz w:val="20"/>
                <w:szCs w:val="20"/>
              </w:rPr>
              <w:t xml:space="preserve">LbRE-LSAS </w:t>
            </w:r>
            <w:r w:rsidRPr="002F10BA">
              <w:rPr>
                <w:rFonts w:asciiTheme="majorBidi" w:hAnsiTheme="majorBidi" w:cstheme="majorBidi"/>
                <w:sz w:val="20"/>
                <w:szCs w:val="20"/>
              </w:rPr>
              <w:t>+St+Lb</w:t>
            </w:r>
            <w:r w:rsidRPr="002F10BA">
              <w:rPr>
                <w:rFonts w:asciiTheme="majorBidi" w:hAnsiTheme="majorBidi" w:cstheme="majorBidi"/>
                <w:sz w:val="20"/>
                <w:szCs w:val="20"/>
                <w:vertAlign w:val="subscript"/>
              </w:rPr>
              <w:t>b</w:t>
            </w:r>
          </w:p>
        </w:tc>
        <w:tc>
          <w:tcPr>
            <w:tcW w:w="850"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0.24</w:t>
            </w:r>
          </w:p>
        </w:tc>
        <w:tc>
          <w:tcPr>
            <w:tcW w:w="851"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21.32</w:t>
            </w:r>
          </w:p>
        </w:tc>
        <w:tc>
          <w:tcPr>
            <w:tcW w:w="709"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0.32</w:t>
            </w:r>
          </w:p>
        </w:tc>
        <w:tc>
          <w:tcPr>
            <w:tcW w:w="850"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24.58</w:t>
            </w:r>
          </w:p>
        </w:tc>
        <w:tc>
          <w:tcPr>
            <w:tcW w:w="709"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0.29</w:t>
            </w:r>
          </w:p>
        </w:tc>
        <w:tc>
          <w:tcPr>
            <w:tcW w:w="850"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24.22</w:t>
            </w:r>
          </w:p>
        </w:tc>
        <w:tc>
          <w:tcPr>
            <w:tcW w:w="851"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0.37</w:t>
            </w:r>
          </w:p>
        </w:tc>
        <w:tc>
          <w:tcPr>
            <w:tcW w:w="850"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24.84</w:t>
            </w:r>
          </w:p>
        </w:tc>
        <w:tc>
          <w:tcPr>
            <w:tcW w:w="709"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0.38</w:t>
            </w:r>
          </w:p>
        </w:tc>
      </w:tr>
      <w:tr w:rsidR="006C66E7" w:rsidRPr="002F10BA" w:rsidTr="006C66E7">
        <w:tc>
          <w:tcPr>
            <w:tcW w:w="2552"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b/>
                <w:bCs/>
                <w:sz w:val="20"/>
                <w:szCs w:val="20"/>
              </w:rPr>
              <w:t>Bb12</w:t>
            </w:r>
            <w:r w:rsidRPr="002F10BA">
              <w:rPr>
                <w:rFonts w:asciiTheme="majorBidi" w:hAnsiTheme="majorBidi" w:cstheme="majorBidi"/>
                <w:sz w:val="20"/>
                <w:szCs w:val="20"/>
              </w:rPr>
              <w:t xml:space="preserve"> +St+Lb</w:t>
            </w:r>
            <w:r w:rsidRPr="002F10BA">
              <w:rPr>
                <w:rFonts w:asciiTheme="majorBidi" w:hAnsiTheme="majorBidi" w:cstheme="majorBidi"/>
                <w:sz w:val="20"/>
                <w:szCs w:val="20"/>
                <w:vertAlign w:val="subscript"/>
              </w:rPr>
              <w:t>b</w:t>
            </w:r>
          </w:p>
        </w:tc>
        <w:tc>
          <w:tcPr>
            <w:tcW w:w="850"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0.26</w:t>
            </w:r>
          </w:p>
        </w:tc>
        <w:tc>
          <w:tcPr>
            <w:tcW w:w="851"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21.79</w:t>
            </w:r>
          </w:p>
        </w:tc>
        <w:tc>
          <w:tcPr>
            <w:tcW w:w="709"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0.35</w:t>
            </w:r>
          </w:p>
        </w:tc>
        <w:tc>
          <w:tcPr>
            <w:tcW w:w="850"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24.58</w:t>
            </w:r>
          </w:p>
        </w:tc>
        <w:tc>
          <w:tcPr>
            <w:tcW w:w="709"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0.28</w:t>
            </w:r>
          </w:p>
        </w:tc>
        <w:tc>
          <w:tcPr>
            <w:tcW w:w="850"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24.42</w:t>
            </w:r>
          </w:p>
        </w:tc>
        <w:tc>
          <w:tcPr>
            <w:tcW w:w="851"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0.37</w:t>
            </w:r>
          </w:p>
        </w:tc>
        <w:tc>
          <w:tcPr>
            <w:tcW w:w="850"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25.07</w:t>
            </w:r>
          </w:p>
        </w:tc>
        <w:tc>
          <w:tcPr>
            <w:tcW w:w="709"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0.34</w:t>
            </w:r>
          </w:p>
        </w:tc>
      </w:tr>
      <w:tr w:rsidR="006C66E7" w:rsidRPr="002F10BA" w:rsidTr="006C66E7">
        <w:tc>
          <w:tcPr>
            <w:tcW w:w="2552"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b/>
                <w:bCs/>
                <w:sz w:val="20"/>
                <w:szCs w:val="20"/>
              </w:rPr>
              <w:t>Lba CECT4529</w:t>
            </w:r>
            <w:r w:rsidRPr="002F10BA">
              <w:rPr>
                <w:rFonts w:asciiTheme="majorBidi" w:hAnsiTheme="majorBidi" w:cstheme="majorBidi"/>
                <w:sz w:val="20"/>
                <w:szCs w:val="20"/>
              </w:rPr>
              <w:t xml:space="preserve"> +St+Lb</w:t>
            </w:r>
            <w:r w:rsidRPr="002F10BA">
              <w:rPr>
                <w:rFonts w:asciiTheme="majorBidi" w:hAnsiTheme="majorBidi" w:cstheme="majorBidi"/>
                <w:sz w:val="20"/>
                <w:szCs w:val="20"/>
                <w:vertAlign w:val="subscript"/>
              </w:rPr>
              <w:t>b</w:t>
            </w:r>
          </w:p>
        </w:tc>
        <w:tc>
          <w:tcPr>
            <w:tcW w:w="850"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0.27</w:t>
            </w:r>
          </w:p>
        </w:tc>
        <w:tc>
          <w:tcPr>
            <w:tcW w:w="851"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22.68</w:t>
            </w:r>
          </w:p>
        </w:tc>
        <w:tc>
          <w:tcPr>
            <w:tcW w:w="709"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0.36</w:t>
            </w:r>
          </w:p>
        </w:tc>
        <w:tc>
          <w:tcPr>
            <w:tcW w:w="850"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24.46</w:t>
            </w:r>
          </w:p>
        </w:tc>
        <w:tc>
          <w:tcPr>
            <w:tcW w:w="709"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0.3</w:t>
            </w:r>
          </w:p>
        </w:tc>
        <w:tc>
          <w:tcPr>
            <w:tcW w:w="850"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24.22</w:t>
            </w:r>
          </w:p>
        </w:tc>
        <w:tc>
          <w:tcPr>
            <w:tcW w:w="851"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0.39</w:t>
            </w:r>
          </w:p>
        </w:tc>
        <w:tc>
          <w:tcPr>
            <w:tcW w:w="850"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24.62</w:t>
            </w:r>
          </w:p>
        </w:tc>
        <w:tc>
          <w:tcPr>
            <w:tcW w:w="709"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0.33</w:t>
            </w:r>
          </w:p>
        </w:tc>
      </w:tr>
      <w:tr w:rsidR="006C66E7" w:rsidRPr="002F10BA" w:rsidTr="006C66E7">
        <w:tc>
          <w:tcPr>
            <w:tcW w:w="2552"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b/>
                <w:bCs/>
                <w:sz w:val="20"/>
                <w:szCs w:val="20"/>
              </w:rPr>
              <w:t>Lbp CECT748</w:t>
            </w:r>
            <w:r w:rsidRPr="002F10BA">
              <w:rPr>
                <w:rFonts w:asciiTheme="majorBidi" w:hAnsiTheme="majorBidi" w:cstheme="majorBidi"/>
                <w:sz w:val="20"/>
                <w:szCs w:val="20"/>
              </w:rPr>
              <w:t xml:space="preserve"> +St+Lb</w:t>
            </w:r>
            <w:r w:rsidRPr="002F10BA">
              <w:rPr>
                <w:rFonts w:asciiTheme="majorBidi" w:hAnsiTheme="majorBidi" w:cstheme="majorBidi"/>
                <w:sz w:val="20"/>
                <w:szCs w:val="20"/>
                <w:vertAlign w:val="subscript"/>
              </w:rPr>
              <w:t>b</w:t>
            </w:r>
          </w:p>
        </w:tc>
        <w:tc>
          <w:tcPr>
            <w:tcW w:w="850"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0.27</w:t>
            </w:r>
          </w:p>
        </w:tc>
        <w:tc>
          <w:tcPr>
            <w:tcW w:w="851"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22.43</w:t>
            </w:r>
          </w:p>
        </w:tc>
        <w:tc>
          <w:tcPr>
            <w:tcW w:w="709"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0.33</w:t>
            </w:r>
          </w:p>
        </w:tc>
        <w:tc>
          <w:tcPr>
            <w:tcW w:w="850"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24.20</w:t>
            </w:r>
          </w:p>
        </w:tc>
        <w:tc>
          <w:tcPr>
            <w:tcW w:w="709"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0.29</w:t>
            </w:r>
          </w:p>
        </w:tc>
        <w:tc>
          <w:tcPr>
            <w:tcW w:w="850"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24.03</w:t>
            </w:r>
          </w:p>
        </w:tc>
        <w:tc>
          <w:tcPr>
            <w:tcW w:w="851"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0.37</w:t>
            </w:r>
          </w:p>
        </w:tc>
        <w:tc>
          <w:tcPr>
            <w:tcW w:w="850"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24.35</w:t>
            </w:r>
          </w:p>
        </w:tc>
        <w:tc>
          <w:tcPr>
            <w:tcW w:w="709"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0.31</w:t>
            </w:r>
          </w:p>
        </w:tc>
      </w:tr>
      <w:tr w:rsidR="006C66E7" w:rsidRPr="002F10BA" w:rsidTr="006C66E7">
        <w:tc>
          <w:tcPr>
            <w:tcW w:w="2552"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b/>
                <w:bCs/>
                <w:sz w:val="20"/>
                <w:szCs w:val="20"/>
              </w:rPr>
              <w:t>BLR</w:t>
            </w:r>
            <w:r w:rsidRPr="002F10BA">
              <w:rPr>
                <w:rFonts w:asciiTheme="majorBidi" w:hAnsiTheme="majorBidi" w:cstheme="majorBidi"/>
                <w:sz w:val="20"/>
                <w:szCs w:val="20"/>
              </w:rPr>
              <w:t>+St</w:t>
            </w:r>
          </w:p>
        </w:tc>
        <w:tc>
          <w:tcPr>
            <w:tcW w:w="850"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0.23</w:t>
            </w:r>
          </w:p>
        </w:tc>
        <w:tc>
          <w:tcPr>
            <w:tcW w:w="851"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20.57</w:t>
            </w:r>
          </w:p>
        </w:tc>
        <w:tc>
          <w:tcPr>
            <w:tcW w:w="709"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0.33</w:t>
            </w:r>
          </w:p>
        </w:tc>
        <w:tc>
          <w:tcPr>
            <w:tcW w:w="850"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24.27</w:t>
            </w:r>
          </w:p>
        </w:tc>
        <w:tc>
          <w:tcPr>
            <w:tcW w:w="709"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0.32</w:t>
            </w:r>
          </w:p>
        </w:tc>
        <w:tc>
          <w:tcPr>
            <w:tcW w:w="850"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24.12</w:t>
            </w:r>
          </w:p>
        </w:tc>
        <w:tc>
          <w:tcPr>
            <w:tcW w:w="851"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0.34</w:t>
            </w:r>
          </w:p>
        </w:tc>
        <w:tc>
          <w:tcPr>
            <w:tcW w:w="850"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24.15</w:t>
            </w:r>
          </w:p>
        </w:tc>
        <w:tc>
          <w:tcPr>
            <w:tcW w:w="709"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0.34</w:t>
            </w:r>
          </w:p>
        </w:tc>
      </w:tr>
      <w:tr w:rsidR="006C66E7" w:rsidRPr="002F10BA" w:rsidTr="006C66E7">
        <w:tc>
          <w:tcPr>
            <w:tcW w:w="2552"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b/>
                <w:bCs/>
                <w:sz w:val="20"/>
                <w:szCs w:val="20"/>
              </w:rPr>
              <w:t xml:space="preserve">LbRE-LSAS </w:t>
            </w:r>
            <w:r w:rsidRPr="002F10BA">
              <w:rPr>
                <w:rFonts w:asciiTheme="majorBidi" w:hAnsiTheme="majorBidi" w:cstheme="majorBidi"/>
                <w:sz w:val="20"/>
                <w:szCs w:val="20"/>
              </w:rPr>
              <w:t>+St</w:t>
            </w:r>
          </w:p>
        </w:tc>
        <w:tc>
          <w:tcPr>
            <w:tcW w:w="850"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0.28</w:t>
            </w:r>
          </w:p>
        </w:tc>
        <w:tc>
          <w:tcPr>
            <w:tcW w:w="851"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19.67</w:t>
            </w:r>
          </w:p>
        </w:tc>
        <w:tc>
          <w:tcPr>
            <w:tcW w:w="709"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0.33</w:t>
            </w:r>
          </w:p>
        </w:tc>
        <w:tc>
          <w:tcPr>
            <w:tcW w:w="850"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23.93</w:t>
            </w:r>
          </w:p>
        </w:tc>
        <w:tc>
          <w:tcPr>
            <w:tcW w:w="709"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0.29</w:t>
            </w:r>
          </w:p>
        </w:tc>
        <w:tc>
          <w:tcPr>
            <w:tcW w:w="850"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24.50</w:t>
            </w:r>
          </w:p>
        </w:tc>
        <w:tc>
          <w:tcPr>
            <w:tcW w:w="851"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0.34</w:t>
            </w:r>
          </w:p>
        </w:tc>
        <w:tc>
          <w:tcPr>
            <w:tcW w:w="850"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24.35</w:t>
            </w:r>
          </w:p>
        </w:tc>
        <w:tc>
          <w:tcPr>
            <w:tcW w:w="709"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0.41</w:t>
            </w:r>
          </w:p>
        </w:tc>
      </w:tr>
      <w:tr w:rsidR="006C66E7" w:rsidRPr="002F10BA" w:rsidTr="006C66E7">
        <w:tc>
          <w:tcPr>
            <w:tcW w:w="2552"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b/>
                <w:bCs/>
                <w:sz w:val="20"/>
                <w:szCs w:val="20"/>
              </w:rPr>
              <w:t>Bb12</w:t>
            </w:r>
            <w:r w:rsidRPr="002F10BA">
              <w:rPr>
                <w:rFonts w:asciiTheme="majorBidi" w:hAnsiTheme="majorBidi" w:cstheme="majorBidi"/>
                <w:sz w:val="20"/>
                <w:szCs w:val="20"/>
              </w:rPr>
              <w:t xml:space="preserve"> +St</w:t>
            </w:r>
          </w:p>
        </w:tc>
        <w:tc>
          <w:tcPr>
            <w:tcW w:w="850"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0.27</w:t>
            </w:r>
          </w:p>
        </w:tc>
        <w:tc>
          <w:tcPr>
            <w:tcW w:w="851"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20.95</w:t>
            </w:r>
          </w:p>
        </w:tc>
        <w:tc>
          <w:tcPr>
            <w:tcW w:w="709"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0.3</w:t>
            </w:r>
          </w:p>
        </w:tc>
        <w:tc>
          <w:tcPr>
            <w:tcW w:w="850"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24.01</w:t>
            </w:r>
          </w:p>
        </w:tc>
        <w:tc>
          <w:tcPr>
            <w:tcW w:w="709"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0.36</w:t>
            </w:r>
          </w:p>
        </w:tc>
        <w:tc>
          <w:tcPr>
            <w:tcW w:w="850"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24.50</w:t>
            </w:r>
          </w:p>
        </w:tc>
        <w:tc>
          <w:tcPr>
            <w:tcW w:w="851"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0.32</w:t>
            </w:r>
          </w:p>
        </w:tc>
        <w:tc>
          <w:tcPr>
            <w:tcW w:w="850"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24.73</w:t>
            </w:r>
          </w:p>
        </w:tc>
        <w:tc>
          <w:tcPr>
            <w:tcW w:w="709"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0.3</w:t>
            </w:r>
          </w:p>
        </w:tc>
      </w:tr>
      <w:tr w:rsidR="006C66E7" w:rsidRPr="002F10BA" w:rsidTr="006C66E7">
        <w:tc>
          <w:tcPr>
            <w:tcW w:w="2552"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b/>
                <w:bCs/>
                <w:sz w:val="20"/>
                <w:szCs w:val="20"/>
              </w:rPr>
              <w:t>Lba CECT4529</w:t>
            </w:r>
            <w:r w:rsidRPr="002F10BA">
              <w:rPr>
                <w:rFonts w:asciiTheme="majorBidi" w:hAnsiTheme="majorBidi" w:cstheme="majorBidi"/>
                <w:sz w:val="20"/>
                <w:szCs w:val="20"/>
              </w:rPr>
              <w:t xml:space="preserve"> +St</w:t>
            </w:r>
          </w:p>
        </w:tc>
        <w:tc>
          <w:tcPr>
            <w:tcW w:w="850"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0.26</w:t>
            </w:r>
          </w:p>
        </w:tc>
        <w:tc>
          <w:tcPr>
            <w:tcW w:w="851"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20.73</w:t>
            </w:r>
          </w:p>
        </w:tc>
        <w:tc>
          <w:tcPr>
            <w:tcW w:w="709"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0.35</w:t>
            </w:r>
          </w:p>
        </w:tc>
        <w:tc>
          <w:tcPr>
            <w:tcW w:w="850"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25.30</w:t>
            </w:r>
          </w:p>
        </w:tc>
        <w:tc>
          <w:tcPr>
            <w:tcW w:w="709"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0.28</w:t>
            </w:r>
          </w:p>
        </w:tc>
        <w:tc>
          <w:tcPr>
            <w:tcW w:w="850"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24.81</w:t>
            </w:r>
          </w:p>
        </w:tc>
        <w:tc>
          <w:tcPr>
            <w:tcW w:w="851"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0.41</w:t>
            </w:r>
          </w:p>
        </w:tc>
        <w:tc>
          <w:tcPr>
            <w:tcW w:w="850"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24.92</w:t>
            </w:r>
          </w:p>
        </w:tc>
        <w:tc>
          <w:tcPr>
            <w:tcW w:w="709"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0.39</w:t>
            </w:r>
          </w:p>
        </w:tc>
      </w:tr>
      <w:tr w:rsidR="006C66E7" w:rsidRPr="002F10BA" w:rsidTr="006C66E7">
        <w:tc>
          <w:tcPr>
            <w:tcW w:w="2552"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b/>
                <w:bCs/>
                <w:sz w:val="20"/>
                <w:szCs w:val="20"/>
              </w:rPr>
              <w:t>Lbp CECT748</w:t>
            </w:r>
            <w:r w:rsidRPr="002F10BA">
              <w:rPr>
                <w:rFonts w:asciiTheme="majorBidi" w:hAnsiTheme="majorBidi" w:cstheme="majorBidi"/>
                <w:sz w:val="20"/>
                <w:szCs w:val="20"/>
              </w:rPr>
              <w:t xml:space="preserve"> +St</w:t>
            </w:r>
          </w:p>
        </w:tc>
        <w:tc>
          <w:tcPr>
            <w:tcW w:w="850"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0.28</w:t>
            </w:r>
          </w:p>
        </w:tc>
        <w:tc>
          <w:tcPr>
            <w:tcW w:w="851"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20.73</w:t>
            </w:r>
          </w:p>
        </w:tc>
        <w:tc>
          <w:tcPr>
            <w:tcW w:w="709"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0.32</w:t>
            </w:r>
          </w:p>
        </w:tc>
        <w:tc>
          <w:tcPr>
            <w:tcW w:w="850"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24.27</w:t>
            </w:r>
          </w:p>
        </w:tc>
        <w:tc>
          <w:tcPr>
            <w:tcW w:w="709"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0.35</w:t>
            </w:r>
          </w:p>
        </w:tc>
        <w:tc>
          <w:tcPr>
            <w:tcW w:w="850"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24.65</w:t>
            </w:r>
          </w:p>
        </w:tc>
        <w:tc>
          <w:tcPr>
            <w:tcW w:w="851"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0.47</w:t>
            </w:r>
          </w:p>
        </w:tc>
        <w:tc>
          <w:tcPr>
            <w:tcW w:w="850"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24.08</w:t>
            </w:r>
          </w:p>
        </w:tc>
        <w:tc>
          <w:tcPr>
            <w:tcW w:w="709" w:type="dxa"/>
          </w:tcPr>
          <w:p w:rsidR="006C66E7" w:rsidRPr="002F10BA" w:rsidRDefault="006C66E7" w:rsidP="005D3B01">
            <w:pPr>
              <w:spacing w:before="0" w:after="0" w:line="480" w:lineRule="auto"/>
              <w:ind w:firstLine="0"/>
              <w:rPr>
                <w:rFonts w:asciiTheme="majorBidi" w:hAnsiTheme="majorBidi" w:cstheme="majorBidi"/>
                <w:sz w:val="20"/>
                <w:szCs w:val="20"/>
              </w:rPr>
            </w:pPr>
            <w:r w:rsidRPr="002F10BA">
              <w:rPr>
                <w:rFonts w:asciiTheme="majorBidi" w:hAnsiTheme="majorBidi" w:cstheme="majorBidi"/>
                <w:sz w:val="20"/>
                <w:szCs w:val="20"/>
              </w:rPr>
              <w:t>0.3</w:t>
            </w:r>
          </w:p>
        </w:tc>
      </w:tr>
    </w:tbl>
    <w:p w:rsidR="006C66E7" w:rsidRPr="00FB1C5F" w:rsidRDefault="006C66E7" w:rsidP="006C66E7">
      <w:pPr>
        <w:spacing w:before="0" w:after="0"/>
      </w:pP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Pr="0067253E" w:rsidRDefault="006C66E7" w:rsidP="006C66E7">
      <w:pPr>
        <w:spacing w:before="0" w:after="0" w:line="360" w:lineRule="auto"/>
        <w:ind w:hanging="720"/>
        <w:contextualSpacing/>
        <w:jc w:val="both"/>
        <w:rPr>
          <w:rFonts w:asciiTheme="majorBidi" w:hAnsiTheme="majorBidi" w:cstheme="majorBidi"/>
          <w:b/>
          <w:bCs/>
        </w:rPr>
      </w:pPr>
      <w:r w:rsidRPr="0067253E">
        <w:rPr>
          <w:rFonts w:asciiTheme="majorBidi" w:hAnsiTheme="majorBidi" w:cstheme="majorBidi"/>
          <w:b/>
          <w:bCs/>
        </w:rPr>
        <w:t>V.1.2. Cas d’une culture associée des deux ferments lactiques (</w:t>
      </w:r>
      <w:r w:rsidRPr="0067253E">
        <w:rPr>
          <w:rFonts w:asciiTheme="majorBidi" w:hAnsiTheme="majorBidi" w:cstheme="majorBidi"/>
          <w:b/>
          <w:bCs/>
          <w:i/>
          <w:iCs/>
        </w:rPr>
        <w:t>Streptococcus thermophilus</w:t>
      </w:r>
      <w:r w:rsidRPr="0067253E">
        <w:rPr>
          <w:rFonts w:asciiTheme="majorBidi" w:hAnsiTheme="majorBidi" w:cstheme="majorBidi"/>
          <w:b/>
          <w:bCs/>
        </w:rPr>
        <w:t xml:space="preserve"> et </w:t>
      </w:r>
      <w:r w:rsidRPr="0067253E">
        <w:rPr>
          <w:rFonts w:asciiTheme="majorBidi" w:hAnsiTheme="majorBidi" w:cstheme="majorBidi"/>
          <w:b/>
          <w:bCs/>
          <w:i/>
          <w:iCs/>
        </w:rPr>
        <w:t>Lactobacillus delbruckii</w:t>
      </w:r>
      <w:r w:rsidRPr="0067253E">
        <w:rPr>
          <w:rFonts w:asciiTheme="majorBidi" w:hAnsiTheme="majorBidi" w:cstheme="majorBidi"/>
          <w:b/>
          <w:bCs/>
        </w:rPr>
        <w:t xml:space="preserve"> ssp </w:t>
      </w:r>
      <w:r w:rsidRPr="0067253E">
        <w:rPr>
          <w:rFonts w:asciiTheme="majorBidi" w:hAnsiTheme="majorBidi" w:cstheme="majorBidi"/>
          <w:b/>
          <w:bCs/>
          <w:i/>
          <w:iCs/>
        </w:rPr>
        <w:t>bulgaricus</w:t>
      </w:r>
      <w:r w:rsidRPr="0067253E">
        <w:rPr>
          <w:rFonts w:asciiTheme="majorBidi" w:hAnsiTheme="majorBidi" w:cstheme="majorBidi"/>
          <w:b/>
          <w:bCs/>
        </w:rPr>
        <w:t>) en présence d’une souche bénéfique</w:t>
      </w:r>
      <w:r>
        <w:rPr>
          <w:rFonts w:asciiTheme="majorBidi" w:hAnsiTheme="majorBidi" w:cstheme="majorBidi"/>
          <w:b/>
          <w:bCs/>
        </w:rPr>
        <w:t>.</w:t>
      </w:r>
    </w:p>
    <w:p w:rsidR="006C66E7" w:rsidRPr="0067253E" w:rsidRDefault="006C66E7" w:rsidP="006C66E7">
      <w:pPr>
        <w:spacing w:before="0" w:after="0" w:line="360" w:lineRule="auto"/>
        <w:ind w:hanging="720"/>
        <w:contextualSpacing/>
        <w:jc w:val="both"/>
        <w:rPr>
          <w:rFonts w:asciiTheme="majorBidi" w:hAnsiTheme="majorBidi" w:cstheme="majorBidi"/>
          <w:b/>
          <w:bCs/>
        </w:rPr>
      </w:pPr>
    </w:p>
    <w:p w:rsidR="006C66E7" w:rsidRPr="0067253E" w:rsidRDefault="006C66E7" w:rsidP="006C66E7">
      <w:pPr>
        <w:spacing w:before="0" w:after="0" w:line="360" w:lineRule="auto"/>
        <w:ind w:firstLine="360"/>
        <w:contextualSpacing/>
        <w:jc w:val="both"/>
        <w:rPr>
          <w:rFonts w:asciiTheme="majorBidi" w:hAnsiTheme="majorBidi" w:cstheme="majorBidi"/>
          <w:b/>
          <w:bCs/>
        </w:rPr>
      </w:pPr>
      <w:r w:rsidRPr="0067253E">
        <w:rPr>
          <w:rFonts w:asciiTheme="majorBidi" w:hAnsiTheme="majorBidi" w:cstheme="majorBidi"/>
          <w:b/>
          <w:bCs/>
        </w:rPr>
        <w:t>V.1.2.1. Cinétique de croissance</w:t>
      </w:r>
      <w:r>
        <w:rPr>
          <w:rFonts w:asciiTheme="majorBidi" w:hAnsiTheme="majorBidi" w:cstheme="majorBidi"/>
          <w:b/>
          <w:bCs/>
        </w:rPr>
        <w:t>.</w:t>
      </w:r>
    </w:p>
    <w:p w:rsidR="006C66E7" w:rsidRPr="0067253E" w:rsidRDefault="006C66E7" w:rsidP="006C66E7">
      <w:pPr>
        <w:spacing w:before="0" w:after="0" w:line="360" w:lineRule="auto"/>
        <w:ind w:firstLine="360"/>
        <w:contextualSpacing/>
        <w:jc w:val="both"/>
        <w:rPr>
          <w:rFonts w:asciiTheme="majorBidi" w:hAnsiTheme="majorBidi" w:cstheme="majorBidi"/>
          <w:b/>
          <w:bCs/>
        </w:rPr>
      </w:pPr>
    </w:p>
    <w:p w:rsidR="006C66E7" w:rsidRPr="0067253E"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En absence d’ingrédients protéiques laitiers (témoin), la croissance des souches bénéfiques en culture mixte avec les deux ferments lactiques (</w:t>
      </w:r>
      <w:r w:rsidRPr="0067253E">
        <w:rPr>
          <w:rFonts w:asciiTheme="majorBidi" w:hAnsiTheme="majorBidi" w:cstheme="majorBidi"/>
          <w:i/>
          <w:iCs/>
        </w:rPr>
        <w:t>Streptococcus thermophilus</w:t>
      </w:r>
      <w:r w:rsidRPr="0067253E">
        <w:rPr>
          <w:rFonts w:asciiTheme="majorBidi" w:hAnsiTheme="majorBidi" w:cstheme="majorBidi"/>
        </w:rPr>
        <w:t xml:space="preserve"> et </w:t>
      </w:r>
      <w:r w:rsidRPr="0067253E">
        <w:rPr>
          <w:rFonts w:asciiTheme="majorBidi" w:hAnsiTheme="majorBidi" w:cstheme="majorBidi"/>
          <w:i/>
          <w:iCs/>
        </w:rPr>
        <w:t>Lactobacillus delbruckii</w:t>
      </w:r>
      <w:r w:rsidRPr="0067253E">
        <w:rPr>
          <w:rFonts w:asciiTheme="majorBidi" w:hAnsiTheme="majorBidi" w:cstheme="majorBidi"/>
        </w:rPr>
        <w:t xml:space="preserve"> ssp</w:t>
      </w:r>
      <w:r w:rsidRPr="0067253E">
        <w:rPr>
          <w:rFonts w:asciiTheme="majorBidi" w:hAnsiTheme="majorBidi" w:cstheme="majorBidi"/>
          <w:i/>
          <w:iCs/>
        </w:rPr>
        <w:t xml:space="preserve"> bulgaricus)</w:t>
      </w:r>
      <w:r w:rsidRPr="0067253E">
        <w:rPr>
          <w:rFonts w:asciiTheme="majorBidi" w:hAnsiTheme="majorBidi" w:cstheme="majorBidi"/>
        </w:rPr>
        <w:t xml:space="preserve"> à la fois s’est révélée meilleure sur le plan de la biomasse accumulée </w:t>
      </w:r>
      <w:r>
        <w:rPr>
          <w:rFonts w:asciiTheme="majorBidi" w:hAnsiTheme="majorBidi" w:cstheme="majorBidi"/>
        </w:rPr>
        <w:t>à la coagulation (pH 5)</w:t>
      </w:r>
      <w:r w:rsidRPr="0067253E">
        <w:rPr>
          <w:rFonts w:asciiTheme="majorBidi" w:hAnsiTheme="majorBidi" w:cstheme="majorBidi"/>
        </w:rPr>
        <w:t xml:space="preserve"> par rapport à celle enregistrée dans les cultures mixtes associant une souche bénéfique à </w:t>
      </w:r>
      <w:r w:rsidRPr="0067253E">
        <w:rPr>
          <w:rFonts w:asciiTheme="majorBidi" w:hAnsiTheme="majorBidi" w:cstheme="majorBidi"/>
          <w:i/>
          <w:iCs/>
        </w:rPr>
        <w:t xml:space="preserve">Streptococcus thermophilus </w:t>
      </w:r>
      <w:r w:rsidRPr="0067253E">
        <w:rPr>
          <w:rFonts w:asciiTheme="majorBidi" w:hAnsiTheme="majorBidi" w:cstheme="majorBidi"/>
        </w:rPr>
        <w:t>seulement</w:t>
      </w:r>
      <w:r>
        <w:rPr>
          <w:rFonts w:asciiTheme="majorBidi" w:hAnsiTheme="majorBidi" w:cstheme="majorBidi"/>
        </w:rPr>
        <w:t xml:space="preserve"> </w:t>
      </w:r>
      <w:r w:rsidRPr="002C5418">
        <w:rPr>
          <w:rFonts w:asciiTheme="majorBidi" w:hAnsiTheme="majorBidi" w:cstheme="majorBidi"/>
          <w:color w:val="3333FF"/>
        </w:rPr>
        <w:t>(figure 5)</w:t>
      </w:r>
      <w:r w:rsidRPr="0067253E">
        <w:rPr>
          <w:rFonts w:asciiTheme="majorBidi" w:hAnsiTheme="majorBidi" w:cstheme="majorBidi"/>
        </w:rPr>
        <w:t>.</w:t>
      </w:r>
    </w:p>
    <w:p w:rsidR="006C66E7" w:rsidRPr="0067253E"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lastRenderedPageBreak/>
        <w:t>Les cinq souches bénéfiques étudiées ont montré une bonne croissance en présence des deux bactéries lactiques à la fin, se traduisant par des quantités de biomasse respectives de l’ordre de 9.07, 9.66, 9.26, 9.51 et 9.07 log UFC/ml, générées par des vitesses spécifiques de croissance de 0.55, 0.88, 0.67, 0.84 et 0.58h</w:t>
      </w:r>
      <w:r w:rsidRPr="0067253E">
        <w:rPr>
          <w:rFonts w:asciiTheme="majorBidi" w:hAnsiTheme="majorBidi" w:cstheme="majorBidi"/>
          <w:vertAlign w:val="superscript"/>
        </w:rPr>
        <w:t>-1</w:t>
      </w:r>
      <w:r w:rsidRPr="0067253E">
        <w:rPr>
          <w:rFonts w:asciiTheme="majorBidi" w:hAnsiTheme="majorBidi" w:cstheme="majorBidi"/>
        </w:rPr>
        <w:t xml:space="preserve"> correspondant à des temps de génération respectifs de l’ordre de 1.24, 0.78, 1.02, 0.81, et 1.19h ; notés respectivement pour les souches BLR, LbRE-LSAS, Bb12, Lba CECT 4529 et Lbp CECT 748.</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Pr="0067253E"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i/>
          <w:iCs/>
        </w:rPr>
        <w:t>Streptococcus thermophilus</w:t>
      </w:r>
      <w:r w:rsidRPr="0067253E">
        <w:rPr>
          <w:rFonts w:asciiTheme="majorBidi" w:hAnsiTheme="majorBidi" w:cstheme="majorBidi"/>
        </w:rPr>
        <w:t xml:space="preserve"> affiche une biomasse en fin de fermentation (pH 5) comprise entre 8.22 à 9.09 log UFC/ml </w:t>
      </w:r>
      <w:r w:rsidRPr="002C5418">
        <w:rPr>
          <w:rFonts w:asciiTheme="majorBidi" w:hAnsiTheme="majorBidi" w:cstheme="majorBidi"/>
          <w:color w:val="3333FF"/>
        </w:rPr>
        <w:t>(figure 6)</w:t>
      </w:r>
      <w:r>
        <w:rPr>
          <w:rFonts w:asciiTheme="majorBidi" w:hAnsiTheme="majorBidi" w:cstheme="majorBidi"/>
        </w:rPr>
        <w:t xml:space="preserve"> </w:t>
      </w:r>
      <w:r w:rsidRPr="0067253E">
        <w:rPr>
          <w:rFonts w:asciiTheme="majorBidi" w:hAnsiTheme="majorBidi" w:cstheme="majorBidi"/>
        </w:rPr>
        <w:t>avec des vitesses spécifiques de croissance maximales de l’ordre de 0.66 à 1.05 h</w:t>
      </w:r>
      <w:r w:rsidRPr="0067253E">
        <w:rPr>
          <w:rFonts w:asciiTheme="majorBidi" w:hAnsiTheme="majorBidi" w:cstheme="majorBidi"/>
          <w:vertAlign w:val="superscript"/>
        </w:rPr>
        <w:t>-1</w:t>
      </w:r>
      <w:r w:rsidRPr="0067253E">
        <w:rPr>
          <w:rFonts w:asciiTheme="majorBidi" w:hAnsiTheme="majorBidi" w:cstheme="majorBidi"/>
        </w:rPr>
        <w:t xml:space="preserve"> et un temps de génération variant de 0.65 à 1.03h selon la souche bénéfique associée aux cultures starters.</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Pr="0067253E"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C’est en présence de la souche bénéfique Bb12 que la plus forte (9.09 log UFC/ml) biomasse streptococcique a été enregistrée</w:t>
      </w:r>
      <w:r>
        <w:rPr>
          <w:rFonts w:asciiTheme="majorBidi" w:hAnsiTheme="majorBidi" w:cstheme="majorBidi"/>
        </w:rPr>
        <w:t xml:space="preserve"> </w:t>
      </w:r>
      <w:r>
        <w:rPr>
          <w:rFonts w:asciiTheme="majorBidi" w:hAnsiTheme="majorBidi" w:cstheme="majorBidi"/>
          <w:color w:val="3333FF"/>
        </w:rPr>
        <w:t>(figure 6 C)</w:t>
      </w:r>
      <w:r w:rsidRPr="0067253E">
        <w:rPr>
          <w:rFonts w:asciiTheme="majorBidi" w:hAnsiTheme="majorBidi" w:cstheme="majorBidi"/>
        </w:rPr>
        <w:t>.</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Pr="0067253E"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Cependant, </w:t>
      </w:r>
      <w:r w:rsidRPr="0067253E">
        <w:rPr>
          <w:rFonts w:asciiTheme="majorBidi" w:hAnsiTheme="majorBidi" w:cstheme="majorBidi"/>
          <w:i/>
          <w:iCs/>
        </w:rPr>
        <w:t>Lactobacillus bulgaricus</w:t>
      </w:r>
      <w:r w:rsidRPr="0067253E">
        <w:rPr>
          <w:rFonts w:asciiTheme="majorBidi" w:hAnsiTheme="majorBidi" w:cstheme="majorBidi"/>
        </w:rPr>
        <w:t xml:space="preserve"> montre une croissance en fin de fermentation légèrement moindre par rapport à celle de </w:t>
      </w:r>
      <w:r w:rsidRPr="0067253E">
        <w:rPr>
          <w:rFonts w:asciiTheme="majorBidi" w:hAnsiTheme="majorBidi" w:cstheme="majorBidi"/>
          <w:i/>
          <w:iCs/>
        </w:rPr>
        <w:t>Streptococcus</w:t>
      </w:r>
      <w:r w:rsidRPr="0067253E">
        <w:rPr>
          <w:rFonts w:asciiTheme="majorBidi" w:hAnsiTheme="majorBidi" w:cstheme="majorBidi"/>
        </w:rPr>
        <w:t xml:space="preserve"> </w:t>
      </w:r>
      <w:r w:rsidRPr="0067253E">
        <w:rPr>
          <w:rFonts w:asciiTheme="majorBidi" w:hAnsiTheme="majorBidi" w:cstheme="majorBidi"/>
          <w:i/>
          <w:iCs/>
        </w:rPr>
        <w:t>thermophilus</w:t>
      </w:r>
      <w:r w:rsidRPr="0067253E">
        <w:rPr>
          <w:rFonts w:asciiTheme="majorBidi" w:hAnsiTheme="majorBidi" w:cstheme="majorBidi"/>
        </w:rPr>
        <w:t xml:space="preserve"> et quelque soit la souche bénéfique associée, cette bactéries affiche une biomasse comprise entre 7.84 à 8.24 log UFC/ml </w:t>
      </w:r>
      <w:r>
        <w:rPr>
          <w:rFonts w:asciiTheme="majorBidi" w:hAnsiTheme="majorBidi" w:cstheme="majorBidi"/>
          <w:color w:val="3333FF"/>
        </w:rPr>
        <w:t xml:space="preserve">(figure 7) </w:t>
      </w:r>
      <w:r w:rsidRPr="0067253E">
        <w:rPr>
          <w:rFonts w:asciiTheme="majorBidi" w:hAnsiTheme="majorBidi" w:cstheme="majorBidi"/>
        </w:rPr>
        <w:t>qui correspond à une vitesse spécifique de croissance et un temps de génération de 0.45 à 0.69 h</w:t>
      </w:r>
      <w:r w:rsidRPr="0067253E">
        <w:rPr>
          <w:rFonts w:asciiTheme="majorBidi" w:hAnsiTheme="majorBidi" w:cstheme="majorBidi"/>
          <w:vertAlign w:val="superscript"/>
        </w:rPr>
        <w:t>-1</w:t>
      </w:r>
      <w:r w:rsidRPr="0067253E">
        <w:rPr>
          <w:rFonts w:asciiTheme="majorBidi" w:hAnsiTheme="majorBidi" w:cstheme="majorBidi"/>
        </w:rPr>
        <w:t xml:space="preserve"> et 1 à 1.51 h respectivement.</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Pr="0067253E"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La présence de Lactosérum doux dans le lait fermenté par les cultures starters influence significativement (P&lt;0.05) la biomasse bénéfique qui se trouve améliorée de 0.5 à 0.94 unités logarithmiques par rapport au témoin (en absence de lactosérum doux). Cette amélioration apparait aussi au niveau des vitesses spécifiques maximales (de 0.55 à  0.88 h</w:t>
      </w:r>
      <w:r w:rsidRPr="0067253E">
        <w:rPr>
          <w:rFonts w:asciiTheme="majorBidi" w:hAnsiTheme="majorBidi" w:cstheme="majorBidi"/>
          <w:vertAlign w:val="superscript"/>
        </w:rPr>
        <w:t>-1</w:t>
      </w:r>
      <w:r w:rsidRPr="0067253E">
        <w:rPr>
          <w:rFonts w:asciiTheme="majorBidi" w:hAnsiTheme="majorBidi" w:cstheme="majorBidi"/>
        </w:rPr>
        <w:t>) et des temps de génération (de 0.78 à 1.24 h).</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427C9D" w:rsidRDefault="006C66E7" w:rsidP="00427C9D">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La quantité de biomasse bénéfique la plus élevée (10.43 logUFC/ml) atteinte à la coagulation du lait (pH 5) est celle obtenue sous l’effet du lactosérum doux sur la souche</w:t>
      </w:r>
      <w:r w:rsidR="00427C9D">
        <w:rPr>
          <w:rFonts w:asciiTheme="majorBidi" w:hAnsiTheme="majorBidi" w:cstheme="majorBidi"/>
        </w:rPr>
        <w:t xml:space="preserve"> </w:t>
      </w:r>
      <w:r w:rsidR="00427C9D" w:rsidRPr="0067253E">
        <w:rPr>
          <w:rFonts w:asciiTheme="majorBidi" w:hAnsiTheme="majorBidi" w:cstheme="majorBidi"/>
        </w:rPr>
        <w:t>Lba CECT4525 par laquelle 9.67% d’augmentation ont été enregistrés par rapport au témoin (sans lactosérum doux).</w:t>
      </w:r>
    </w:p>
    <w:p w:rsidR="002203B9" w:rsidRDefault="002203B9" w:rsidP="00427C9D">
      <w:pPr>
        <w:spacing w:before="0" w:after="0" w:line="360" w:lineRule="auto"/>
        <w:ind w:firstLine="360"/>
        <w:contextualSpacing/>
        <w:jc w:val="both"/>
        <w:rPr>
          <w:rFonts w:asciiTheme="majorBidi" w:hAnsiTheme="majorBidi" w:cstheme="majorBidi"/>
        </w:rPr>
      </w:pPr>
    </w:p>
    <w:p w:rsidR="002203B9" w:rsidRPr="0067253E" w:rsidRDefault="002203B9" w:rsidP="00427C9D">
      <w:pPr>
        <w:spacing w:before="0" w:after="0" w:line="360" w:lineRule="auto"/>
        <w:ind w:firstLine="360"/>
        <w:contextualSpacing/>
        <w:jc w:val="both"/>
        <w:rPr>
          <w:rFonts w:asciiTheme="majorBidi" w:hAnsiTheme="majorBidi" w:cstheme="majorBidi"/>
        </w:rPr>
      </w:pPr>
    </w:p>
    <w:p w:rsidR="006C66E7" w:rsidRDefault="006F133D" w:rsidP="006C66E7">
      <w:pPr>
        <w:spacing w:before="0" w:after="0" w:line="276" w:lineRule="auto"/>
        <w:ind w:firstLine="0"/>
        <w:rPr>
          <w:rFonts w:asciiTheme="majorBidi" w:hAnsiTheme="majorBidi" w:cstheme="majorBidi"/>
        </w:rPr>
      </w:pPr>
      <w:r>
        <w:rPr>
          <w:rFonts w:asciiTheme="majorBidi" w:hAnsiTheme="majorBidi" w:cstheme="majorBidi"/>
          <w:noProof/>
          <w:lang w:eastAsia="fr-FR"/>
        </w:rPr>
        <w:lastRenderedPageBreak/>
        <w:pict>
          <v:shape id="_x0000_s2071" type="#_x0000_t202" style="position:absolute;margin-left:.6pt;margin-top:-7.4pt;width:437.25pt;height:692.25pt;z-index:251681792">
            <v:textbox>
              <w:txbxContent>
                <w:p w:rsidR="00310CA5" w:rsidRDefault="00310CA5" w:rsidP="006C66E7"/>
              </w:txbxContent>
            </v:textbox>
          </v:shape>
        </w:pict>
      </w:r>
      <w:r>
        <w:rPr>
          <w:rFonts w:asciiTheme="majorBidi" w:hAnsiTheme="majorBidi" w:cstheme="majorBidi"/>
          <w:noProof/>
          <w:lang w:eastAsia="fr-FR"/>
        </w:rPr>
        <w:pict>
          <v:shape id="_x0000_s2091" type="#_x0000_t202" style="position:absolute;margin-left:11.1pt;margin-top:547.6pt;width:418.5pt;height:133.5pt;z-index:251702272" strokecolor="white [3212]">
            <v:textbox>
              <w:txbxContent>
                <w:p w:rsidR="00310CA5" w:rsidRPr="000A56FA" w:rsidRDefault="00310CA5" w:rsidP="006C66E7">
                  <w:pPr>
                    <w:ind w:left="851" w:hanging="993"/>
                    <w:jc w:val="both"/>
                    <w:rPr>
                      <w:rFonts w:ascii="Times New Roman" w:hAnsi="Times New Roman" w:cs="Times New Roman"/>
                      <w:sz w:val="20"/>
                      <w:szCs w:val="20"/>
                    </w:rPr>
                  </w:pPr>
                  <w:r w:rsidRPr="00A1575D">
                    <w:rPr>
                      <w:rFonts w:ascii="Times New Roman" w:hAnsi="Times New Roman" w:cs="Times New Roman"/>
                      <w:b/>
                      <w:bCs/>
                      <w:sz w:val="20"/>
                      <w:szCs w:val="20"/>
                      <w:u w:val="single"/>
                    </w:rPr>
                    <w:t xml:space="preserve">Figure </w:t>
                  </w:r>
                  <w:r>
                    <w:rPr>
                      <w:rFonts w:ascii="Times New Roman" w:hAnsi="Times New Roman" w:cs="Times New Roman"/>
                      <w:b/>
                      <w:bCs/>
                      <w:sz w:val="20"/>
                      <w:szCs w:val="20"/>
                      <w:u w:val="single"/>
                    </w:rPr>
                    <w:t>5</w:t>
                  </w:r>
                  <w:r w:rsidRPr="000A56FA">
                    <w:rPr>
                      <w:rFonts w:ascii="Times New Roman" w:hAnsi="Times New Roman" w:cs="Times New Roman"/>
                      <w:sz w:val="20"/>
                      <w:szCs w:val="20"/>
                    </w:rPr>
                    <w:t xml:space="preserve"> : Cinétique </w:t>
                  </w:r>
                  <w:r w:rsidRPr="00A1575D">
                    <w:rPr>
                      <w:rFonts w:ascii="Times New Roman" w:hAnsi="Times New Roman" w:cs="Times New Roman"/>
                      <w:b/>
                      <w:bCs/>
                      <w:sz w:val="20"/>
                      <w:szCs w:val="20"/>
                    </w:rPr>
                    <w:t>de croissance</w:t>
                  </w:r>
                  <w:r w:rsidRPr="000A56FA">
                    <w:rPr>
                      <w:rFonts w:ascii="Times New Roman" w:hAnsi="Times New Roman" w:cs="Times New Roman"/>
                      <w:sz w:val="20"/>
                      <w:szCs w:val="20"/>
                    </w:rPr>
                    <w:t xml:space="preserve"> des souches </w:t>
                  </w:r>
                  <w:r>
                    <w:rPr>
                      <w:rFonts w:ascii="Times New Roman" w:hAnsi="Times New Roman" w:cs="Times New Roman"/>
                      <w:sz w:val="20"/>
                      <w:szCs w:val="20"/>
                    </w:rPr>
                    <w:t>bénéf</w:t>
                  </w:r>
                  <w:r w:rsidRPr="000A56FA">
                    <w:rPr>
                      <w:rFonts w:ascii="Times New Roman" w:hAnsi="Times New Roman" w:cs="Times New Roman"/>
                      <w:sz w:val="20"/>
                      <w:szCs w:val="20"/>
                    </w:rPr>
                    <w:t xml:space="preserve">iques </w:t>
                  </w:r>
                  <w:r w:rsidRPr="00A1575D">
                    <w:rPr>
                      <w:rFonts w:ascii="Times New Roman" w:hAnsi="Times New Roman" w:cs="Times New Roman"/>
                      <w:b/>
                      <w:bCs/>
                      <w:sz w:val="20"/>
                      <w:szCs w:val="20"/>
                    </w:rPr>
                    <w:t>BLR</w:t>
                  </w:r>
                  <w:r w:rsidRPr="000A56FA">
                    <w:rPr>
                      <w:rFonts w:ascii="Times New Roman" w:hAnsi="Times New Roman" w:cs="Times New Roman"/>
                      <w:sz w:val="20"/>
                      <w:szCs w:val="20"/>
                    </w:rPr>
                    <w:t> </w:t>
                  </w:r>
                  <w:r w:rsidRPr="000A56FA">
                    <w:rPr>
                      <w:rFonts w:ascii="Times New Roman" w:hAnsi="Times New Roman" w:cs="Times New Roman"/>
                      <w:b/>
                      <w:bCs/>
                      <w:sz w:val="20"/>
                      <w:szCs w:val="20"/>
                    </w:rPr>
                    <w:t>(A)</w:t>
                  </w:r>
                  <w:r w:rsidRPr="000A56FA">
                    <w:rPr>
                      <w:rFonts w:ascii="Times New Roman" w:hAnsi="Times New Roman" w:cs="Times New Roman"/>
                      <w:sz w:val="20"/>
                      <w:szCs w:val="20"/>
                    </w:rPr>
                    <w:t xml:space="preserve">; </w:t>
                  </w:r>
                  <w:r w:rsidRPr="00A1575D">
                    <w:rPr>
                      <w:rFonts w:ascii="Times New Roman" w:hAnsi="Times New Roman" w:cs="Times New Roman"/>
                      <w:b/>
                      <w:bCs/>
                      <w:sz w:val="20"/>
                      <w:szCs w:val="20"/>
                    </w:rPr>
                    <w:t>LbRE-LSAS</w:t>
                  </w:r>
                  <w:r w:rsidRPr="000A56FA">
                    <w:rPr>
                      <w:rFonts w:ascii="Times New Roman" w:hAnsi="Times New Roman" w:cs="Times New Roman"/>
                      <w:sz w:val="20"/>
                      <w:szCs w:val="20"/>
                    </w:rPr>
                    <w:t> </w:t>
                  </w:r>
                  <w:r w:rsidRPr="000A56FA">
                    <w:rPr>
                      <w:rFonts w:ascii="Times New Roman" w:hAnsi="Times New Roman" w:cs="Times New Roman"/>
                      <w:b/>
                      <w:bCs/>
                      <w:sz w:val="20"/>
                      <w:szCs w:val="20"/>
                    </w:rPr>
                    <w:t>(B)</w:t>
                  </w:r>
                  <w:r w:rsidRPr="000A56FA">
                    <w:rPr>
                      <w:rFonts w:ascii="Times New Roman" w:hAnsi="Times New Roman" w:cs="Times New Roman"/>
                      <w:sz w:val="20"/>
                      <w:szCs w:val="20"/>
                    </w:rPr>
                    <w:t xml:space="preserve">; </w:t>
                  </w:r>
                  <w:r w:rsidRPr="00A1575D">
                    <w:rPr>
                      <w:rFonts w:ascii="Times New Roman" w:hAnsi="Times New Roman" w:cs="Times New Roman"/>
                      <w:b/>
                      <w:bCs/>
                      <w:sz w:val="20"/>
                      <w:szCs w:val="20"/>
                    </w:rPr>
                    <w:t>Bb12</w:t>
                  </w:r>
                  <w:r w:rsidRPr="000A56FA">
                    <w:rPr>
                      <w:rFonts w:ascii="Times New Roman" w:hAnsi="Times New Roman" w:cs="Times New Roman"/>
                      <w:sz w:val="20"/>
                      <w:szCs w:val="20"/>
                    </w:rPr>
                    <w:t> </w:t>
                  </w:r>
                  <w:r w:rsidRPr="000A56FA">
                    <w:rPr>
                      <w:rFonts w:ascii="Times New Roman" w:hAnsi="Times New Roman" w:cs="Times New Roman"/>
                      <w:b/>
                      <w:bCs/>
                      <w:sz w:val="20"/>
                      <w:szCs w:val="20"/>
                    </w:rPr>
                    <w:t>(C)</w:t>
                  </w:r>
                  <w:r w:rsidRPr="000A56FA">
                    <w:rPr>
                      <w:rFonts w:ascii="Times New Roman" w:hAnsi="Times New Roman" w:cs="Times New Roman"/>
                      <w:sz w:val="20"/>
                      <w:szCs w:val="20"/>
                    </w:rPr>
                    <w:t xml:space="preserve">; </w:t>
                  </w:r>
                  <w:r w:rsidRPr="00A1575D">
                    <w:rPr>
                      <w:rFonts w:ascii="Times New Roman" w:hAnsi="Times New Roman" w:cs="Times New Roman"/>
                      <w:b/>
                      <w:bCs/>
                      <w:sz w:val="20"/>
                      <w:szCs w:val="20"/>
                    </w:rPr>
                    <w:t>Lba</w:t>
                  </w:r>
                  <w:r>
                    <w:rPr>
                      <w:rFonts w:ascii="Times New Roman" w:hAnsi="Times New Roman" w:cs="Times New Roman"/>
                      <w:b/>
                      <w:bCs/>
                      <w:sz w:val="20"/>
                      <w:szCs w:val="20"/>
                    </w:rPr>
                    <w:t xml:space="preserve"> </w:t>
                  </w:r>
                  <w:r w:rsidRPr="00A1575D">
                    <w:rPr>
                      <w:rFonts w:ascii="Times New Roman" w:hAnsi="Times New Roman" w:cs="Times New Roman"/>
                      <w:b/>
                      <w:bCs/>
                      <w:sz w:val="20"/>
                      <w:szCs w:val="20"/>
                    </w:rPr>
                    <w:t>CECT4529</w:t>
                  </w:r>
                  <w:r w:rsidRPr="000A56FA">
                    <w:rPr>
                      <w:rFonts w:ascii="Times New Roman" w:hAnsi="Times New Roman" w:cs="Times New Roman"/>
                      <w:sz w:val="20"/>
                      <w:szCs w:val="20"/>
                    </w:rPr>
                    <w:t xml:space="preserve"> </w:t>
                  </w:r>
                  <w:r w:rsidRPr="000A56FA">
                    <w:rPr>
                      <w:rFonts w:ascii="Times New Roman" w:hAnsi="Times New Roman" w:cs="Times New Roman"/>
                      <w:b/>
                      <w:bCs/>
                      <w:sz w:val="20"/>
                      <w:szCs w:val="20"/>
                    </w:rPr>
                    <w:t>(D)</w:t>
                  </w:r>
                  <w:r w:rsidRPr="000A56FA">
                    <w:rPr>
                      <w:rFonts w:ascii="Times New Roman" w:hAnsi="Times New Roman" w:cs="Times New Roman"/>
                      <w:sz w:val="20"/>
                      <w:szCs w:val="20"/>
                    </w:rPr>
                    <w:t xml:space="preserve"> </w:t>
                  </w:r>
                  <w:r>
                    <w:rPr>
                      <w:rFonts w:ascii="Times New Roman" w:hAnsi="Times New Roman" w:cs="Times New Roman"/>
                      <w:sz w:val="20"/>
                      <w:szCs w:val="20"/>
                    </w:rPr>
                    <w:t>ou</w:t>
                  </w:r>
                  <w:r w:rsidRPr="000A56FA">
                    <w:rPr>
                      <w:rFonts w:ascii="Times New Roman" w:hAnsi="Times New Roman" w:cs="Times New Roman"/>
                      <w:sz w:val="20"/>
                      <w:szCs w:val="20"/>
                    </w:rPr>
                    <w:t xml:space="preserve"> </w:t>
                  </w:r>
                  <w:r w:rsidRPr="00A1575D">
                    <w:rPr>
                      <w:rFonts w:ascii="Times New Roman" w:hAnsi="Times New Roman" w:cs="Times New Roman"/>
                      <w:b/>
                      <w:bCs/>
                      <w:sz w:val="20"/>
                      <w:szCs w:val="20"/>
                    </w:rPr>
                    <w:t>Lbp</w:t>
                  </w:r>
                  <w:r>
                    <w:rPr>
                      <w:rFonts w:ascii="Times New Roman" w:hAnsi="Times New Roman" w:cs="Times New Roman"/>
                      <w:b/>
                      <w:bCs/>
                      <w:sz w:val="20"/>
                      <w:szCs w:val="20"/>
                    </w:rPr>
                    <w:t xml:space="preserve"> </w:t>
                  </w:r>
                  <w:r w:rsidRPr="00A1575D">
                    <w:rPr>
                      <w:rFonts w:ascii="Times New Roman" w:hAnsi="Times New Roman" w:cs="Times New Roman"/>
                      <w:b/>
                      <w:bCs/>
                      <w:sz w:val="20"/>
                      <w:szCs w:val="20"/>
                    </w:rPr>
                    <w:t>CECT748</w:t>
                  </w:r>
                  <w:r w:rsidRPr="000A56FA">
                    <w:rPr>
                      <w:rFonts w:ascii="Times New Roman" w:hAnsi="Times New Roman" w:cs="Times New Roman"/>
                      <w:sz w:val="20"/>
                      <w:szCs w:val="20"/>
                    </w:rPr>
                    <w:t xml:space="preserve"> </w:t>
                  </w:r>
                  <w:r w:rsidRPr="000A56FA">
                    <w:rPr>
                      <w:rFonts w:ascii="Times New Roman" w:hAnsi="Times New Roman" w:cs="Times New Roman"/>
                      <w:b/>
                      <w:bCs/>
                      <w:sz w:val="20"/>
                      <w:szCs w:val="20"/>
                    </w:rPr>
                    <w:t>(E)</w:t>
                  </w:r>
                  <w:r>
                    <w:rPr>
                      <w:rFonts w:ascii="Times New Roman" w:hAnsi="Times New Roman" w:cs="Times New Roman"/>
                      <w:sz w:val="20"/>
                      <w:szCs w:val="20"/>
                    </w:rPr>
                    <w:t xml:space="preserve"> en</w:t>
                  </w:r>
                  <w:r w:rsidRPr="000A56FA">
                    <w:rPr>
                      <w:rFonts w:ascii="Times New Roman" w:hAnsi="Times New Roman" w:cs="Times New Roman"/>
                      <w:sz w:val="20"/>
                      <w:szCs w:val="20"/>
                    </w:rPr>
                    <w:t xml:space="preserve"> culture</w:t>
                  </w:r>
                  <w:r>
                    <w:rPr>
                      <w:rFonts w:ascii="Times New Roman" w:hAnsi="Times New Roman" w:cs="Times New Roman"/>
                      <w:sz w:val="20"/>
                      <w:szCs w:val="20"/>
                    </w:rPr>
                    <w:t>s</w:t>
                  </w:r>
                  <w:r w:rsidRPr="000A56FA">
                    <w:rPr>
                      <w:rFonts w:ascii="Times New Roman" w:hAnsi="Times New Roman" w:cs="Times New Roman"/>
                      <w:sz w:val="20"/>
                      <w:szCs w:val="20"/>
                    </w:rPr>
                    <w:t xml:space="preserve"> mixtes avec  les deux souches lactiques </w:t>
                  </w:r>
                  <w:r w:rsidRPr="000A56FA">
                    <w:rPr>
                      <w:rFonts w:ascii="Times New Roman" w:hAnsi="Times New Roman" w:cs="Times New Roman"/>
                      <w:i/>
                      <w:iCs/>
                      <w:sz w:val="20"/>
                      <w:szCs w:val="20"/>
                    </w:rPr>
                    <w:t>Streptococcus thermophilus</w:t>
                  </w:r>
                  <w:r w:rsidRPr="000A56FA">
                    <w:rPr>
                      <w:rFonts w:ascii="Times New Roman" w:hAnsi="Times New Roman" w:cs="Times New Roman"/>
                      <w:sz w:val="20"/>
                      <w:szCs w:val="20"/>
                    </w:rPr>
                    <w:t xml:space="preserve"> et </w:t>
                  </w:r>
                  <w:r w:rsidRPr="000A56FA">
                    <w:rPr>
                      <w:rFonts w:ascii="Times New Roman" w:hAnsi="Times New Roman" w:cs="Times New Roman"/>
                      <w:i/>
                      <w:iCs/>
                      <w:sz w:val="20"/>
                      <w:szCs w:val="20"/>
                    </w:rPr>
                    <w:t>Lactobacillus bulgaricus</w:t>
                  </w:r>
                  <w:r w:rsidRPr="000A56FA">
                    <w:rPr>
                      <w:rFonts w:ascii="Times New Roman" w:hAnsi="Times New Roman" w:cs="Times New Roman"/>
                      <w:sz w:val="20"/>
                      <w:szCs w:val="20"/>
                    </w:rPr>
                    <w:t xml:space="preserve"> YF-L812 à 37°C sur milieu lait. </w:t>
                  </w:r>
                  <w:r w:rsidRPr="003468B2">
                    <w:rPr>
                      <w:rFonts w:ascii="Times New Roman" w:hAnsi="Times New Roman" w:cs="Times New Roman"/>
                      <w:sz w:val="20"/>
                      <w:szCs w:val="20"/>
                    </w:rPr>
                    <w:t>Cultures mixtes témoin (</w:t>
                  </w:r>
                  <w:r w:rsidRPr="00C44983">
                    <w:rPr>
                      <w:rFonts w:ascii="Times New Roman" w:hAnsi="Times New Roman" w:cs="Times New Roman"/>
                      <w:noProof/>
                      <w:color w:val="0070C0"/>
                      <w:sz w:val="20"/>
                      <w:szCs w:val="20"/>
                      <w:lang w:eastAsia="fr-FR"/>
                    </w:rPr>
                    <w:t>■</w:t>
                  </w:r>
                  <w:r w:rsidRPr="003468B2">
                    <w:rPr>
                      <w:rFonts w:ascii="Times New Roman" w:hAnsi="Times New Roman" w:cs="Times New Roman"/>
                      <w:sz w:val="20"/>
                      <w:szCs w:val="20"/>
                    </w:rPr>
                    <w:t xml:space="preserve">), cultures mixtes additionnées de 0,53% </w:t>
                  </w:r>
                  <w:r>
                    <w:rPr>
                      <w:rFonts w:ascii="Times New Roman" w:hAnsi="Times New Roman" w:cs="Times New Roman"/>
                      <w:sz w:val="20"/>
                      <w:szCs w:val="20"/>
                    </w:rPr>
                    <w:t xml:space="preserve">(P/V) : </w:t>
                  </w:r>
                  <w:r w:rsidRPr="003468B2">
                    <w:rPr>
                      <w:rFonts w:ascii="Times New Roman" w:hAnsi="Times New Roman" w:cs="Times New Roman"/>
                      <w:sz w:val="20"/>
                      <w:szCs w:val="20"/>
                    </w:rPr>
                    <w:t>de lactosérum doux (</w:t>
                  </w:r>
                  <w:r w:rsidRPr="007A6C8B">
                    <w:rPr>
                      <w:rFonts w:ascii="Times New Roman" w:hAnsi="Times New Roman" w:cs="Times New Roman"/>
                      <w:color w:val="FF9900"/>
                      <w:sz w:val="20"/>
                      <w:szCs w:val="20"/>
                    </w:rPr>
                    <w:t>■</w:t>
                  </w:r>
                  <w:r w:rsidRPr="003468B2">
                    <w:rPr>
                      <w:rFonts w:ascii="Times New Roman" w:hAnsi="Times New Roman" w:cs="Times New Roman"/>
                      <w:sz w:val="20"/>
                      <w:szCs w:val="20"/>
                    </w:rPr>
                    <w:t>), de Promilk 852A2 (</w:t>
                  </w:r>
                  <w:r w:rsidRPr="00C44983">
                    <w:rPr>
                      <w:rFonts w:ascii="Times New Roman" w:hAnsi="Times New Roman" w:cs="Times New Roman"/>
                      <w:color w:val="92D050"/>
                      <w:sz w:val="20"/>
                      <w:szCs w:val="20"/>
                    </w:rPr>
                    <w:t>■</w:t>
                  </w:r>
                  <w:r w:rsidRPr="003468B2">
                    <w:rPr>
                      <w:rFonts w:ascii="Times New Roman" w:hAnsi="Times New Roman" w:cs="Times New Roman"/>
                      <w:sz w:val="20"/>
                      <w:szCs w:val="20"/>
                    </w:rPr>
                    <w:t>),</w:t>
                  </w:r>
                  <w:r>
                    <w:rPr>
                      <w:rFonts w:ascii="Times New Roman" w:hAnsi="Times New Roman" w:cs="Times New Roman"/>
                      <w:sz w:val="20"/>
                      <w:szCs w:val="20"/>
                    </w:rPr>
                    <w:t xml:space="preserve"> </w:t>
                  </w:r>
                  <w:r w:rsidRPr="003468B2">
                    <w:rPr>
                      <w:rFonts w:ascii="Times New Roman" w:hAnsi="Times New Roman" w:cs="Times New Roman"/>
                      <w:sz w:val="20"/>
                      <w:szCs w:val="20"/>
                    </w:rPr>
                    <w:t>de Promilk C502 (</w:t>
                  </w:r>
                  <w:r w:rsidRPr="00C44983">
                    <w:rPr>
                      <w:rFonts w:ascii="Times New Roman" w:hAnsi="Times New Roman" w:cs="Times New Roman"/>
                      <w:color w:val="FF33CC"/>
                      <w:sz w:val="20"/>
                      <w:szCs w:val="20"/>
                    </w:rPr>
                    <w:t>■</w:t>
                  </w:r>
                  <w:r w:rsidRPr="003468B2">
                    <w:rPr>
                      <w:rFonts w:ascii="Times New Roman" w:hAnsi="Times New Roman" w:cs="Times New Roman"/>
                      <w:sz w:val="20"/>
                      <w:szCs w:val="20"/>
                    </w:rPr>
                    <w:t>)</w:t>
                  </w:r>
                  <w:r>
                    <w:rPr>
                      <w:rFonts w:ascii="Times New Roman" w:hAnsi="Times New Roman" w:cs="Times New Roman"/>
                      <w:sz w:val="20"/>
                      <w:szCs w:val="20"/>
                    </w:rPr>
                    <w:t xml:space="preserve"> ou </w:t>
                  </w:r>
                  <w:r w:rsidRPr="003468B2">
                    <w:rPr>
                      <w:rFonts w:ascii="Times New Roman" w:hAnsi="Times New Roman" w:cs="Times New Roman"/>
                      <w:sz w:val="20"/>
                      <w:szCs w:val="20"/>
                    </w:rPr>
                    <w:t>d’hydrolysat de caséine (</w:t>
                  </w:r>
                  <w:r w:rsidRPr="00C44983">
                    <w:rPr>
                      <w:rFonts w:ascii="Times New Roman" w:hAnsi="Times New Roman" w:cs="Times New Roman"/>
                      <w:color w:val="990099"/>
                      <w:sz w:val="20"/>
                      <w:szCs w:val="20"/>
                    </w:rPr>
                    <w:t>■</w:t>
                  </w:r>
                  <w:r>
                    <w:rPr>
                      <w:rFonts w:ascii="Times New Roman" w:hAnsi="Times New Roman" w:cs="Times New Roman"/>
                      <w:sz w:val="20"/>
                      <w:szCs w:val="20"/>
                    </w:rPr>
                    <w:t>)</w:t>
                  </w:r>
                  <w:r w:rsidRPr="000A56FA">
                    <w:rPr>
                      <w:rFonts w:ascii="Times New Roman" w:hAnsi="Times New Roman" w:cs="Times New Roman"/>
                      <w:sz w:val="20"/>
                      <w:szCs w:val="20"/>
                    </w:rPr>
                    <w:t>. Dans toutes les cultures mixtes, l’inoculum est à une concentration finale de 10</w:t>
                  </w:r>
                  <w:r w:rsidRPr="000A56FA">
                    <w:rPr>
                      <w:rFonts w:ascii="Times New Roman" w:hAnsi="Times New Roman" w:cs="Times New Roman"/>
                      <w:sz w:val="20"/>
                      <w:szCs w:val="20"/>
                      <w:vertAlign w:val="superscript"/>
                    </w:rPr>
                    <w:t>7</w:t>
                  </w:r>
                  <w:r w:rsidRPr="000A56FA">
                    <w:rPr>
                      <w:rFonts w:ascii="Times New Roman" w:hAnsi="Times New Roman" w:cs="Times New Roman"/>
                      <w:sz w:val="20"/>
                      <w:szCs w:val="20"/>
                    </w:rPr>
                    <w:t xml:space="preserve"> UFC/ml et utilisé à 1% (1 :1). Les valeurs représentent la moyenne (m) de 9 déterminations ±S</w:t>
                  </w:r>
                  <w:r>
                    <w:rPr>
                      <w:rFonts w:ascii="Times New Roman" w:hAnsi="Times New Roman" w:cs="Times New Roman"/>
                      <w:sz w:val="20"/>
                      <w:szCs w:val="20"/>
                    </w:rPr>
                    <w:t>EM</w:t>
                  </w:r>
                  <w:r w:rsidRPr="000A56FA">
                    <w:rPr>
                      <w:rFonts w:ascii="Times New Roman" w:hAnsi="Times New Roman" w:cs="Times New Roman"/>
                      <w:sz w:val="20"/>
                      <w:szCs w:val="20"/>
                    </w:rPr>
                    <w:t xml:space="preserve"> (n</w:t>
                  </w:r>
                  <w:r>
                    <w:rPr>
                      <w:rFonts w:ascii="Times New Roman" w:hAnsi="Times New Roman" w:cs="Times New Roman"/>
                      <w:sz w:val="20"/>
                      <w:szCs w:val="20"/>
                    </w:rPr>
                    <w:t xml:space="preserve"> </w:t>
                  </w:r>
                  <w:r w:rsidRPr="000A56FA">
                    <w:rPr>
                      <w:rFonts w:ascii="Times New Roman" w:hAnsi="Times New Roman" w:cs="Times New Roman"/>
                      <w:sz w:val="20"/>
                      <w:szCs w:val="20"/>
                    </w:rPr>
                    <w:t>=</w:t>
                  </w:r>
                  <w:r>
                    <w:rPr>
                      <w:rFonts w:ascii="Times New Roman" w:hAnsi="Times New Roman" w:cs="Times New Roman"/>
                      <w:sz w:val="20"/>
                      <w:szCs w:val="20"/>
                    </w:rPr>
                    <w:t xml:space="preserve"> </w:t>
                  </w:r>
                  <w:r w:rsidRPr="000A56FA">
                    <w:rPr>
                      <w:rFonts w:ascii="Times New Roman" w:hAnsi="Times New Roman" w:cs="Times New Roman"/>
                      <w:sz w:val="20"/>
                      <w:szCs w:val="20"/>
                    </w:rPr>
                    <w:t>9). T0</w:t>
                  </w:r>
                  <w:r>
                    <w:rPr>
                      <w:rFonts w:ascii="Times New Roman" w:hAnsi="Times New Roman" w:cs="Times New Roman"/>
                      <w:sz w:val="20"/>
                      <w:szCs w:val="20"/>
                    </w:rPr>
                    <w:t xml:space="preserve"> </w:t>
                  </w:r>
                  <w:r w:rsidRPr="000A56FA">
                    <w:rPr>
                      <w:rFonts w:ascii="Times New Roman" w:hAnsi="Times New Roman" w:cs="Times New Roman"/>
                      <w:sz w:val="20"/>
                      <w:szCs w:val="20"/>
                    </w:rPr>
                    <w:t>= 0h ; T1</w:t>
                  </w:r>
                  <w:r>
                    <w:rPr>
                      <w:rFonts w:ascii="Times New Roman" w:hAnsi="Times New Roman" w:cs="Times New Roman"/>
                      <w:sz w:val="20"/>
                      <w:szCs w:val="20"/>
                    </w:rPr>
                    <w:t xml:space="preserve"> </w:t>
                  </w:r>
                  <w:r w:rsidRPr="000A56FA">
                    <w:rPr>
                      <w:rFonts w:ascii="Times New Roman" w:hAnsi="Times New Roman" w:cs="Times New Roman"/>
                      <w:sz w:val="20"/>
                      <w:szCs w:val="20"/>
                    </w:rPr>
                    <w:t>=</w:t>
                  </w:r>
                  <w:r>
                    <w:rPr>
                      <w:rFonts w:ascii="Times New Roman" w:hAnsi="Times New Roman" w:cs="Times New Roman"/>
                      <w:sz w:val="20"/>
                      <w:szCs w:val="20"/>
                    </w:rPr>
                    <w:t xml:space="preserve"> </w:t>
                  </w:r>
                  <w:r w:rsidRPr="000A56FA">
                    <w:rPr>
                      <w:rFonts w:ascii="Times New Roman" w:hAnsi="Times New Roman" w:cs="Times New Roman"/>
                      <w:sz w:val="20"/>
                      <w:szCs w:val="20"/>
                    </w:rPr>
                    <w:t>2h ; T2</w:t>
                  </w:r>
                  <w:r>
                    <w:rPr>
                      <w:rFonts w:ascii="Times New Roman" w:hAnsi="Times New Roman" w:cs="Times New Roman"/>
                      <w:sz w:val="20"/>
                      <w:szCs w:val="20"/>
                    </w:rPr>
                    <w:t xml:space="preserve"> </w:t>
                  </w:r>
                  <w:r w:rsidRPr="000A56FA">
                    <w:rPr>
                      <w:rFonts w:ascii="Times New Roman" w:hAnsi="Times New Roman" w:cs="Times New Roman"/>
                      <w:sz w:val="20"/>
                      <w:szCs w:val="20"/>
                    </w:rPr>
                    <w:t>=</w:t>
                  </w:r>
                  <w:r>
                    <w:rPr>
                      <w:rFonts w:ascii="Times New Roman" w:hAnsi="Times New Roman" w:cs="Times New Roman"/>
                      <w:sz w:val="20"/>
                      <w:szCs w:val="20"/>
                    </w:rPr>
                    <w:t xml:space="preserve"> </w:t>
                  </w:r>
                  <w:r w:rsidRPr="000A56FA">
                    <w:rPr>
                      <w:rFonts w:ascii="Times New Roman" w:hAnsi="Times New Roman" w:cs="Times New Roman"/>
                      <w:sz w:val="20"/>
                      <w:szCs w:val="20"/>
                    </w:rPr>
                    <w:t>4h, T3</w:t>
                  </w:r>
                  <w:r>
                    <w:rPr>
                      <w:rFonts w:ascii="Times New Roman" w:hAnsi="Times New Roman" w:cs="Times New Roman"/>
                      <w:sz w:val="20"/>
                      <w:szCs w:val="20"/>
                    </w:rPr>
                    <w:t xml:space="preserve"> </w:t>
                  </w:r>
                  <w:r w:rsidRPr="000A56FA">
                    <w:rPr>
                      <w:rFonts w:ascii="Times New Roman" w:hAnsi="Times New Roman" w:cs="Times New Roman"/>
                      <w:sz w:val="20"/>
                      <w:szCs w:val="20"/>
                    </w:rPr>
                    <w:t>=</w:t>
                  </w:r>
                  <w:r>
                    <w:rPr>
                      <w:rFonts w:ascii="Times New Roman" w:hAnsi="Times New Roman" w:cs="Times New Roman"/>
                      <w:sz w:val="20"/>
                      <w:szCs w:val="20"/>
                    </w:rPr>
                    <w:t xml:space="preserve"> temps</w:t>
                  </w:r>
                  <w:r w:rsidRPr="000A56FA">
                    <w:rPr>
                      <w:rFonts w:ascii="Times New Roman" w:hAnsi="Times New Roman" w:cs="Times New Roman"/>
                      <w:sz w:val="20"/>
                      <w:szCs w:val="20"/>
                    </w:rPr>
                    <w:t xml:space="preserve"> de coagulation (pH</w:t>
                  </w:r>
                  <w:r>
                    <w:rPr>
                      <w:rFonts w:ascii="Times New Roman" w:hAnsi="Times New Roman" w:cs="Times New Roman"/>
                      <w:sz w:val="20"/>
                      <w:szCs w:val="20"/>
                    </w:rPr>
                    <w:t xml:space="preserve"> </w:t>
                  </w:r>
                  <w:r w:rsidRPr="000A56FA">
                    <w:rPr>
                      <w:rFonts w:ascii="Times New Roman" w:hAnsi="Times New Roman" w:cs="Times New Roman"/>
                      <w:sz w:val="20"/>
                      <w:szCs w:val="20"/>
                    </w:rPr>
                    <w:t>5).</w:t>
                  </w:r>
                </w:p>
                <w:p w:rsidR="00310CA5" w:rsidRDefault="00310CA5" w:rsidP="006C66E7"/>
              </w:txbxContent>
            </v:textbox>
          </v:shape>
        </w:pict>
      </w:r>
      <w:r>
        <w:rPr>
          <w:rFonts w:asciiTheme="majorBidi" w:hAnsiTheme="majorBidi" w:cstheme="majorBidi"/>
          <w:noProof/>
          <w:lang w:eastAsia="fr-FR"/>
        </w:rPr>
        <w:pict>
          <v:shape id="_x0000_s2076" type="#_x0000_t202" style="position:absolute;margin-left:222.6pt;margin-top:359.35pt;width:207pt;height:180pt;z-index:251686912" strokecolor="white [3212]">
            <v:textbox>
              <w:txbxContent>
                <w:p w:rsidR="00310CA5" w:rsidRDefault="00310CA5" w:rsidP="006C66E7">
                  <w:pPr>
                    <w:ind w:left="-142" w:firstLine="0"/>
                  </w:pPr>
                  <w:r w:rsidRPr="002F219E">
                    <w:rPr>
                      <w:noProof/>
                      <w:lang w:eastAsia="fr-FR"/>
                    </w:rPr>
                    <w:drawing>
                      <wp:inline distT="0" distB="0" distL="0" distR="0">
                        <wp:extent cx="2611755" cy="2057400"/>
                        <wp:effectExtent l="57150" t="19050" r="17145" b="0"/>
                        <wp:docPr id="727" name="Graphique 2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xbxContent>
            </v:textbox>
          </v:shape>
        </w:pict>
      </w:r>
      <w:r>
        <w:rPr>
          <w:rFonts w:asciiTheme="majorBidi" w:hAnsiTheme="majorBidi" w:cstheme="majorBidi"/>
          <w:noProof/>
          <w:lang w:eastAsia="fr-FR"/>
        </w:rPr>
        <w:pict>
          <v:shape id="_x0000_s2075" type="#_x0000_t202" style="position:absolute;margin-left:11.1pt;margin-top:359.35pt;width:211.5pt;height:180pt;z-index:251685888" strokecolor="white [3212]">
            <v:textbox>
              <w:txbxContent>
                <w:p w:rsidR="00310CA5" w:rsidRDefault="00310CA5" w:rsidP="006C66E7">
                  <w:pPr>
                    <w:ind w:firstLine="0"/>
                  </w:pPr>
                  <w:r w:rsidRPr="002F219E">
                    <w:rPr>
                      <w:noProof/>
                      <w:lang w:eastAsia="fr-FR"/>
                    </w:rPr>
                    <w:drawing>
                      <wp:inline distT="0" distB="0" distL="0" distR="0">
                        <wp:extent cx="2522220" cy="2121579"/>
                        <wp:effectExtent l="57150" t="19050" r="11430" b="0"/>
                        <wp:docPr id="726" name="Graphique 2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txbxContent>
            </v:textbox>
          </v:shape>
        </w:pict>
      </w:r>
      <w:r>
        <w:rPr>
          <w:rFonts w:asciiTheme="majorBidi" w:hAnsiTheme="majorBidi" w:cstheme="majorBidi"/>
          <w:noProof/>
          <w:lang w:eastAsia="fr-FR"/>
        </w:rPr>
        <w:pict>
          <v:shape id="_x0000_s2074" type="#_x0000_t202" style="position:absolute;margin-left:116.85pt;margin-top:177.85pt;width:214.5pt;height:189pt;z-index:251684864" strokecolor="white [3212]">
            <v:textbox>
              <w:txbxContent>
                <w:p w:rsidR="00310CA5" w:rsidRDefault="00310CA5" w:rsidP="006C66E7">
                  <w:pPr>
                    <w:ind w:firstLine="0"/>
                  </w:pPr>
                  <w:r w:rsidRPr="002F219E">
                    <w:rPr>
                      <w:noProof/>
                      <w:lang w:eastAsia="fr-FR"/>
                    </w:rPr>
                    <w:drawing>
                      <wp:inline distT="0" distB="0" distL="0" distR="0">
                        <wp:extent cx="2531745" cy="2072866"/>
                        <wp:effectExtent l="19050" t="19050" r="20955" b="3584"/>
                        <wp:docPr id="62" name="Graphique 62"/>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txbxContent>
            </v:textbox>
          </v:shape>
        </w:pict>
      </w:r>
      <w:r>
        <w:rPr>
          <w:rFonts w:asciiTheme="majorBidi" w:hAnsiTheme="majorBidi" w:cstheme="majorBidi"/>
          <w:noProof/>
          <w:lang w:eastAsia="fr-FR"/>
        </w:rPr>
        <w:pict>
          <v:shape id="_x0000_s2073" type="#_x0000_t202" style="position:absolute;margin-left:217.35pt;margin-top:3.85pt;width:208.5pt;height:186.75pt;z-index:251683840" strokecolor="white [3212]">
            <v:textbox>
              <w:txbxContent>
                <w:p w:rsidR="00310CA5" w:rsidRPr="002F219E" w:rsidRDefault="00310CA5" w:rsidP="006C66E7">
                  <w:pPr>
                    <w:ind w:firstLine="0"/>
                  </w:pPr>
                  <w:r w:rsidRPr="002F219E">
                    <w:rPr>
                      <w:noProof/>
                      <w:lang w:eastAsia="fr-FR"/>
                    </w:rPr>
                    <w:drawing>
                      <wp:inline distT="0" distB="0" distL="0" distR="0">
                        <wp:extent cx="2455545" cy="1990725"/>
                        <wp:effectExtent l="57150" t="0" r="20955" b="0"/>
                        <wp:docPr id="61" name="Graphique 6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txbxContent>
            </v:textbox>
          </v:shape>
        </w:pict>
      </w:r>
      <w:r>
        <w:rPr>
          <w:rFonts w:asciiTheme="majorBidi" w:hAnsiTheme="majorBidi" w:cstheme="majorBidi"/>
          <w:noProof/>
          <w:lang w:eastAsia="fr-FR"/>
        </w:rPr>
        <w:pict>
          <v:shape id="_x0000_s2072" type="#_x0000_t202" style="position:absolute;margin-left:11.1pt;margin-top:3.85pt;width:206.25pt;height:186.75pt;z-index:251682816" strokecolor="white [3212]">
            <v:textbox>
              <w:txbxContent>
                <w:p w:rsidR="00310CA5" w:rsidRDefault="00310CA5" w:rsidP="006C66E7">
                  <w:pPr>
                    <w:ind w:firstLine="0"/>
                  </w:pPr>
                  <w:r w:rsidRPr="002F219E">
                    <w:rPr>
                      <w:noProof/>
                      <w:lang w:eastAsia="fr-FR"/>
                    </w:rPr>
                    <w:drawing>
                      <wp:inline distT="0" distB="0" distL="0" distR="0">
                        <wp:extent cx="2426970" cy="2028825"/>
                        <wp:effectExtent l="57150" t="19050" r="11430" b="0"/>
                        <wp:docPr id="723" name="Graphique 14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txbxContent>
            </v:textbox>
          </v:shape>
        </w:pict>
      </w:r>
      <w:r w:rsidR="006C66E7">
        <w:rPr>
          <w:rFonts w:asciiTheme="majorBidi" w:hAnsiTheme="majorBidi" w:cstheme="majorBidi"/>
        </w:rPr>
        <w:br w:type="page"/>
      </w:r>
    </w:p>
    <w:p w:rsidR="006C66E7" w:rsidRDefault="006F133D" w:rsidP="006C66E7">
      <w:pPr>
        <w:spacing w:before="0" w:after="0" w:line="276" w:lineRule="auto"/>
        <w:ind w:firstLine="0"/>
        <w:rPr>
          <w:rFonts w:asciiTheme="majorBidi" w:hAnsiTheme="majorBidi" w:cstheme="majorBidi"/>
        </w:rPr>
      </w:pPr>
      <w:r>
        <w:rPr>
          <w:rFonts w:asciiTheme="majorBidi" w:hAnsiTheme="majorBidi" w:cstheme="majorBidi"/>
          <w:noProof/>
          <w:lang w:eastAsia="fr-FR"/>
        </w:rPr>
        <w:lastRenderedPageBreak/>
        <w:pict>
          <v:shape id="_x0000_s2077" type="#_x0000_t202" style="position:absolute;margin-left:1.35pt;margin-top:-4.4pt;width:439.5pt;height:686.25pt;z-index:251687936">
            <v:textbox>
              <w:txbxContent>
                <w:p w:rsidR="00310CA5" w:rsidRDefault="00310CA5" w:rsidP="006C66E7"/>
              </w:txbxContent>
            </v:textbox>
          </v:shape>
        </w:pict>
      </w:r>
      <w:r>
        <w:rPr>
          <w:rFonts w:asciiTheme="majorBidi" w:hAnsiTheme="majorBidi" w:cstheme="majorBidi"/>
          <w:noProof/>
          <w:lang w:eastAsia="fr-FR"/>
        </w:rPr>
        <w:pict>
          <v:shape id="_x0000_s2082" type="#_x0000_t202" style="position:absolute;margin-left:226.35pt;margin-top:363.1pt;width:205.5pt;height:198.75pt;z-index:251693056" strokecolor="white [3212]">
            <v:textbox>
              <w:txbxContent>
                <w:p w:rsidR="00310CA5" w:rsidRPr="002F219E" w:rsidRDefault="00310CA5" w:rsidP="006C66E7">
                  <w:pPr>
                    <w:ind w:firstLine="0"/>
                  </w:pPr>
                  <w:r w:rsidRPr="002F219E">
                    <w:rPr>
                      <w:noProof/>
                      <w:lang w:eastAsia="fr-FR"/>
                    </w:rPr>
                    <w:drawing>
                      <wp:inline distT="0" distB="0" distL="0" distR="0">
                        <wp:extent cx="2533650" cy="2343150"/>
                        <wp:effectExtent l="19050" t="0" r="19050" b="0"/>
                        <wp:docPr id="706" name="Graphique 70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txbxContent>
            </v:textbox>
          </v:shape>
        </w:pict>
      </w:r>
      <w:r>
        <w:rPr>
          <w:rFonts w:asciiTheme="majorBidi" w:hAnsiTheme="majorBidi" w:cstheme="majorBidi"/>
          <w:noProof/>
          <w:lang w:eastAsia="fr-FR"/>
        </w:rPr>
        <w:pict>
          <v:shape id="_x0000_s2081" type="#_x0000_t202" style="position:absolute;margin-left:9.6pt;margin-top:363.1pt;width:213pt;height:198.75pt;z-index:251692032" strokecolor="white [3212]">
            <v:textbox>
              <w:txbxContent>
                <w:p w:rsidR="00310CA5" w:rsidRDefault="00310CA5" w:rsidP="006C66E7">
                  <w:pPr>
                    <w:ind w:firstLine="0"/>
                  </w:pPr>
                  <w:r w:rsidRPr="002F219E">
                    <w:rPr>
                      <w:noProof/>
                      <w:lang w:eastAsia="fr-FR"/>
                    </w:rPr>
                    <w:drawing>
                      <wp:inline distT="0" distB="0" distL="0" distR="0">
                        <wp:extent cx="2562225" cy="2324100"/>
                        <wp:effectExtent l="57150" t="19050" r="0" b="0"/>
                        <wp:docPr id="732" name="Graphique 1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txbxContent>
            </v:textbox>
          </v:shape>
        </w:pict>
      </w:r>
      <w:r>
        <w:rPr>
          <w:rFonts w:asciiTheme="majorBidi" w:hAnsiTheme="majorBidi" w:cstheme="majorBidi"/>
          <w:noProof/>
          <w:lang w:eastAsia="fr-FR"/>
        </w:rPr>
        <w:pict>
          <v:shape id="_x0000_s2083" type="#_x0000_t202" style="position:absolute;margin-left:14.1pt;margin-top:561.85pt;width:417.75pt;height:112.5pt;z-index:251694080" strokecolor="white [3212]">
            <v:textbox>
              <w:txbxContent>
                <w:p w:rsidR="00310CA5" w:rsidRPr="000A56FA" w:rsidRDefault="00310CA5" w:rsidP="006C66E7">
                  <w:pPr>
                    <w:ind w:left="851" w:hanging="851"/>
                    <w:jc w:val="both"/>
                    <w:rPr>
                      <w:rFonts w:ascii="Times New Roman" w:hAnsi="Times New Roman" w:cs="Times New Roman"/>
                      <w:sz w:val="20"/>
                      <w:szCs w:val="20"/>
                    </w:rPr>
                  </w:pPr>
                  <w:r w:rsidRPr="00A1575D">
                    <w:rPr>
                      <w:rFonts w:ascii="Times New Roman" w:hAnsi="Times New Roman" w:cs="Times New Roman"/>
                      <w:b/>
                      <w:bCs/>
                      <w:sz w:val="20"/>
                      <w:szCs w:val="20"/>
                      <w:u w:val="single"/>
                    </w:rPr>
                    <w:t xml:space="preserve">Figure </w:t>
                  </w:r>
                  <w:r>
                    <w:rPr>
                      <w:rFonts w:ascii="Times New Roman" w:hAnsi="Times New Roman" w:cs="Times New Roman"/>
                      <w:b/>
                      <w:bCs/>
                      <w:sz w:val="20"/>
                      <w:szCs w:val="20"/>
                      <w:u w:val="single"/>
                    </w:rPr>
                    <w:t>6</w:t>
                  </w:r>
                  <w:r w:rsidRPr="000A56FA">
                    <w:rPr>
                      <w:rFonts w:ascii="Times New Roman" w:hAnsi="Times New Roman" w:cs="Times New Roman"/>
                      <w:sz w:val="20"/>
                      <w:szCs w:val="20"/>
                    </w:rPr>
                    <w:t xml:space="preserve"> : Cinétique </w:t>
                  </w:r>
                  <w:r w:rsidRPr="00A1575D">
                    <w:rPr>
                      <w:rFonts w:ascii="Times New Roman" w:hAnsi="Times New Roman" w:cs="Times New Roman"/>
                      <w:b/>
                      <w:bCs/>
                      <w:sz w:val="20"/>
                      <w:szCs w:val="20"/>
                    </w:rPr>
                    <w:t>de croissance</w:t>
                  </w:r>
                  <w:r w:rsidRPr="000A56FA">
                    <w:rPr>
                      <w:rFonts w:ascii="Times New Roman" w:hAnsi="Times New Roman" w:cs="Times New Roman"/>
                      <w:sz w:val="20"/>
                      <w:szCs w:val="20"/>
                    </w:rPr>
                    <w:t xml:space="preserve"> de la souche lactique </w:t>
                  </w:r>
                  <w:r w:rsidRPr="00A1575D">
                    <w:rPr>
                      <w:rFonts w:ascii="Times New Roman" w:hAnsi="Times New Roman" w:cs="Times New Roman"/>
                      <w:b/>
                      <w:bCs/>
                      <w:i/>
                      <w:iCs/>
                      <w:sz w:val="20"/>
                      <w:szCs w:val="20"/>
                    </w:rPr>
                    <w:t>Streptococcus thermophilus</w:t>
                  </w:r>
                  <w:r w:rsidRPr="000A56FA">
                    <w:rPr>
                      <w:rFonts w:ascii="Times New Roman" w:hAnsi="Times New Roman" w:cs="Times New Roman"/>
                      <w:sz w:val="20"/>
                      <w:szCs w:val="20"/>
                    </w:rPr>
                    <w:t xml:space="preserve"> en culture mixte avec </w:t>
                  </w:r>
                  <w:r w:rsidRPr="000A56FA">
                    <w:rPr>
                      <w:rFonts w:ascii="Times New Roman" w:hAnsi="Times New Roman" w:cs="Times New Roman"/>
                      <w:i/>
                      <w:iCs/>
                      <w:sz w:val="20"/>
                      <w:szCs w:val="20"/>
                    </w:rPr>
                    <w:t>Lactobacillus bulgaricus</w:t>
                  </w:r>
                  <w:r w:rsidRPr="000A56FA">
                    <w:rPr>
                      <w:rFonts w:ascii="Times New Roman" w:hAnsi="Times New Roman" w:cs="Times New Roman"/>
                      <w:sz w:val="20"/>
                      <w:szCs w:val="20"/>
                    </w:rPr>
                    <w:t xml:space="preserve"> et une souche </w:t>
                  </w:r>
                  <w:r>
                    <w:rPr>
                      <w:rFonts w:ascii="Times New Roman" w:hAnsi="Times New Roman" w:cs="Times New Roman"/>
                      <w:sz w:val="20"/>
                      <w:szCs w:val="20"/>
                    </w:rPr>
                    <w:t>bénéf</w:t>
                  </w:r>
                  <w:r w:rsidRPr="000A56FA">
                    <w:rPr>
                      <w:rFonts w:ascii="Times New Roman" w:hAnsi="Times New Roman" w:cs="Times New Roman"/>
                      <w:sz w:val="20"/>
                      <w:szCs w:val="20"/>
                    </w:rPr>
                    <w:t xml:space="preserve">ique BLR </w:t>
                  </w:r>
                  <w:r w:rsidRPr="000A56FA">
                    <w:rPr>
                      <w:rFonts w:ascii="Times New Roman" w:hAnsi="Times New Roman" w:cs="Times New Roman"/>
                      <w:b/>
                      <w:bCs/>
                      <w:sz w:val="20"/>
                      <w:szCs w:val="20"/>
                    </w:rPr>
                    <w:t>(A)</w:t>
                  </w:r>
                  <w:r w:rsidRPr="000A56FA">
                    <w:rPr>
                      <w:rFonts w:ascii="Times New Roman" w:hAnsi="Times New Roman" w:cs="Times New Roman"/>
                      <w:sz w:val="20"/>
                      <w:szCs w:val="20"/>
                    </w:rPr>
                    <w:t>; LbRE</w:t>
                  </w:r>
                  <w:r>
                    <w:rPr>
                      <w:rFonts w:ascii="Times New Roman" w:hAnsi="Times New Roman" w:cs="Times New Roman"/>
                      <w:sz w:val="20"/>
                      <w:szCs w:val="20"/>
                    </w:rPr>
                    <w:t>-</w:t>
                  </w:r>
                  <w:r w:rsidRPr="000A56FA">
                    <w:rPr>
                      <w:rFonts w:ascii="Times New Roman" w:hAnsi="Times New Roman" w:cs="Times New Roman"/>
                      <w:sz w:val="20"/>
                      <w:szCs w:val="20"/>
                    </w:rPr>
                    <w:t xml:space="preserve">LSAS </w:t>
                  </w:r>
                  <w:r w:rsidRPr="000A56FA">
                    <w:rPr>
                      <w:rFonts w:ascii="Times New Roman" w:hAnsi="Times New Roman" w:cs="Times New Roman"/>
                      <w:b/>
                      <w:bCs/>
                      <w:sz w:val="20"/>
                      <w:szCs w:val="20"/>
                    </w:rPr>
                    <w:t>(B)</w:t>
                  </w:r>
                  <w:r w:rsidRPr="000A56FA">
                    <w:rPr>
                      <w:rFonts w:ascii="Times New Roman" w:hAnsi="Times New Roman" w:cs="Times New Roman"/>
                      <w:sz w:val="20"/>
                      <w:szCs w:val="20"/>
                    </w:rPr>
                    <w:t>; Bb12 </w:t>
                  </w:r>
                  <w:r w:rsidRPr="000A56FA">
                    <w:rPr>
                      <w:rFonts w:ascii="Times New Roman" w:hAnsi="Times New Roman" w:cs="Times New Roman"/>
                      <w:b/>
                      <w:bCs/>
                      <w:sz w:val="20"/>
                      <w:szCs w:val="20"/>
                    </w:rPr>
                    <w:t>(C)</w:t>
                  </w:r>
                  <w:r w:rsidRPr="000A56FA">
                    <w:rPr>
                      <w:rFonts w:ascii="Times New Roman" w:hAnsi="Times New Roman" w:cs="Times New Roman"/>
                      <w:sz w:val="20"/>
                      <w:szCs w:val="20"/>
                    </w:rPr>
                    <w:t xml:space="preserve">; </w:t>
                  </w:r>
                  <w:r>
                    <w:rPr>
                      <w:rFonts w:ascii="Times New Roman" w:hAnsi="Times New Roman" w:cs="Times New Roman"/>
                      <w:sz w:val="20"/>
                      <w:szCs w:val="20"/>
                    </w:rPr>
                    <w:t>Lba</w:t>
                  </w:r>
                  <w:r w:rsidRPr="000A56FA">
                    <w:rPr>
                      <w:rFonts w:ascii="Times New Roman" w:hAnsi="Times New Roman" w:cs="Times New Roman"/>
                      <w:sz w:val="20"/>
                      <w:szCs w:val="20"/>
                    </w:rPr>
                    <w:t xml:space="preserve">CECT4529 </w:t>
                  </w:r>
                  <w:r w:rsidRPr="000A56FA">
                    <w:rPr>
                      <w:rFonts w:ascii="Times New Roman" w:hAnsi="Times New Roman" w:cs="Times New Roman"/>
                      <w:b/>
                      <w:bCs/>
                      <w:sz w:val="20"/>
                      <w:szCs w:val="20"/>
                    </w:rPr>
                    <w:t>(D)</w:t>
                  </w:r>
                  <w:r w:rsidRPr="000A56FA">
                    <w:rPr>
                      <w:rFonts w:ascii="Times New Roman" w:hAnsi="Times New Roman" w:cs="Times New Roman"/>
                      <w:sz w:val="20"/>
                      <w:szCs w:val="20"/>
                    </w:rPr>
                    <w:t xml:space="preserve"> </w:t>
                  </w:r>
                  <w:r>
                    <w:rPr>
                      <w:rFonts w:ascii="Times New Roman" w:hAnsi="Times New Roman" w:cs="Times New Roman"/>
                      <w:sz w:val="20"/>
                      <w:szCs w:val="20"/>
                    </w:rPr>
                    <w:t>ou Lbp</w:t>
                  </w:r>
                  <w:r w:rsidRPr="000A56FA">
                    <w:rPr>
                      <w:rFonts w:ascii="Times New Roman" w:hAnsi="Times New Roman" w:cs="Times New Roman"/>
                      <w:sz w:val="20"/>
                      <w:szCs w:val="20"/>
                    </w:rPr>
                    <w:t xml:space="preserve">CECT748 </w:t>
                  </w:r>
                  <w:r w:rsidRPr="000A56FA">
                    <w:rPr>
                      <w:rFonts w:ascii="Times New Roman" w:hAnsi="Times New Roman" w:cs="Times New Roman"/>
                      <w:b/>
                      <w:bCs/>
                      <w:sz w:val="20"/>
                      <w:szCs w:val="20"/>
                    </w:rPr>
                    <w:t>(E)</w:t>
                  </w:r>
                  <w:r w:rsidRPr="000A56FA">
                    <w:rPr>
                      <w:rFonts w:ascii="Times New Roman" w:hAnsi="Times New Roman" w:cs="Times New Roman"/>
                      <w:sz w:val="20"/>
                      <w:szCs w:val="20"/>
                    </w:rPr>
                    <w:t xml:space="preserve"> à 37°C sur milieu lait. </w:t>
                  </w:r>
                  <w:r w:rsidRPr="003468B2">
                    <w:rPr>
                      <w:rFonts w:ascii="Times New Roman" w:hAnsi="Times New Roman" w:cs="Times New Roman"/>
                      <w:sz w:val="20"/>
                      <w:szCs w:val="20"/>
                    </w:rPr>
                    <w:t>Cultures mixtes témoin (</w:t>
                  </w:r>
                  <w:r w:rsidRPr="00C44983">
                    <w:rPr>
                      <w:rFonts w:ascii="Times New Roman" w:hAnsi="Times New Roman" w:cs="Times New Roman"/>
                      <w:noProof/>
                      <w:color w:val="0070C0"/>
                      <w:sz w:val="20"/>
                      <w:szCs w:val="20"/>
                      <w:lang w:eastAsia="fr-FR"/>
                    </w:rPr>
                    <w:t>■</w:t>
                  </w:r>
                  <w:r w:rsidRPr="003468B2">
                    <w:rPr>
                      <w:rFonts w:ascii="Times New Roman" w:hAnsi="Times New Roman" w:cs="Times New Roman"/>
                      <w:sz w:val="20"/>
                      <w:szCs w:val="20"/>
                    </w:rPr>
                    <w:t xml:space="preserve">), cultures mixtes additionnées de 0,53% </w:t>
                  </w:r>
                  <w:r>
                    <w:rPr>
                      <w:rFonts w:ascii="Times New Roman" w:hAnsi="Times New Roman" w:cs="Times New Roman"/>
                      <w:sz w:val="20"/>
                      <w:szCs w:val="20"/>
                    </w:rPr>
                    <w:t xml:space="preserve">(P/V) : </w:t>
                  </w:r>
                  <w:r w:rsidRPr="003468B2">
                    <w:rPr>
                      <w:rFonts w:ascii="Times New Roman" w:hAnsi="Times New Roman" w:cs="Times New Roman"/>
                      <w:sz w:val="20"/>
                      <w:szCs w:val="20"/>
                    </w:rPr>
                    <w:t>de lactosérum doux (</w:t>
                  </w:r>
                  <w:r w:rsidRPr="007A6C8B">
                    <w:rPr>
                      <w:rFonts w:ascii="Times New Roman" w:hAnsi="Times New Roman" w:cs="Times New Roman"/>
                      <w:color w:val="FF9900"/>
                      <w:sz w:val="20"/>
                      <w:szCs w:val="20"/>
                    </w:rPr>
                    <w:t>■</w:t>
                  </w:r>
                  <w:r w:rsidRPr="003468B2">
                    <w:rPr>
                      <w:rFonts w:ascii="Times New Roman" w:hAnsi="Times New Roman" w:cs="Times New Roman"/>
                      <w:sz w:val="20"/>
                      <w:szCs w:val="20"/>
                    </w:rPr>
                    <w:t>), de Promilk 852A2 (</w:t>
                  </w:r>
                  <w:r w:rsidRPr="00C44983">
                    <w:rPr>
                      <w:rFonts w:ascii="Times New Roman" w:hAnsi="Times New Roman" w:cs="Times New Roman"/>
                      <w:color w:val="92D050"/>
                      <w:sz w:val="20"/>
                      <w:szCs w:val="20"/>
                    </w:rPr>
                    <w:t>■</w:t>
                  </w:r>
                  <w:r w:rsidRPr="003468B2">
                    <w:rPr>
                      <w:rFonts w:ascii="Times New Roman" w:hAnsi="Times New Roman" w:cs="Times New Roman"/>
                      <w:sz w:val="20"/>
                      <w:szCs w:val="20"/>
                    </w:rPr>
                    <w:t>),</w:t>
                  </w:r>
                  <w:r>
                    <w:rPr>
                      <w:rFonts w:ascii="Times New Roman" w:hAnsi="Times New Roman" w:cs="Times New Roman"/>
                      <w:sz w:val="20"/>
                      <w:szCs w:val="20"/>
                    </w:rPr>
                    <w:t xml:space="preserve"> </w:t>
                  </w:r>
                  <w:r w:rsidRPr="003468B2">
                    <w:rPr>
                      <w:rFonts w:ascii="Times New Roman" w:hAnsi="Times New Roman" w:cs="Times New Roman"/>
                      <w:sz w:val="20"/>
                      <w:szCs w:val="20"/>
                    </w:rPr>
                    <w:t>de Promilk C502 (</w:t>
                  </w:r>
                  <w:r w:rsidRPr="00C44983">
                    <w:rPr>
                      <w:rFonts w:ascii="Times New Roman" w:hAnsi="Times New Roman" w:cs="Times New Roman"/>
                      <w:color w:val="FF33CC"/>
                      <w:sz w:val="20"/>
                      <w:szCs w:val="20"/>
                    </w:rPr>
                    <w:t>■</w:t>
                  </w:r>
                  <w:r w:rsidRPr="003468B2">
                    <w:rPr>
                      <w:rFonts w:ascii="Times New Roman" w:hAnsi="Times New Roman" w:cs="Times New Roman"/>
                      <w:sz w:val="20"/>
                      <w:szCs w:val="20"/>
                    </w:rPr>
                    <w:t>)</w:t>
                  </w:r>
                  <w:r>
                    <w:rPr>
                      <w:rFonts w:ascii="Times New Roman" w:hAnsi="Times New Roman" w:cs="Times New Roman"/>
                      <w:sz w:val="20"/>
                      <w:szCs w:val="20"/>
                    </w:rPr>
                    <w:t xml:space="preserve"> ou </w:t>
                  </w:r>
                  <w:r w:rsidRPr="003468B2">
                    <w:rPr>
                      <w:rFonts w:ascii="Times New Roman" w:hAnsi="Times New Roman" w:cs="Times New Roman"/>
                      <w:sz w:val="20"/>
                      <w:szCs w:val="20"/>
                    </w:rPr>
                    <w:t>d’hydrolysat de caséine (</w:t>
                  </w:r>
                  <w:r w:rsidRPr="00C44983">
                    <w:rPr>
                      <w:rFonts w:ascii="Times New Roman" w:hAnsi="Times New Roman" w:cs="Times New Roman"/>
                      <w:color w:val="990099"/>
                      <w:sz w:val="20"/>
                      <w:szCs w:val="20"/>
                    </w:rPr>
                    <w:t>■</w:t>
                  </w:r>
                  <w:r>
                    <w:rPr>
                      <w:rFonts w:ascii="Times New Roman" w:hAnsi="Times New Roman" w:cs="Times New Roman"/>
                      <w:sz w:val="20"/>
                      <w:szCs w:val="20"/>
                    </w:rPr>
                    <w:t>)</w:t>
                  </w:r>
                  <w:r w:rsidRPr="000A56FA">
                    <w:rPr>
                      <w:rFonts w:ascii="Times New Roman" w:hAnsi="Times New Roman" w:cs="Times New Roman"/>
                      <w:sz w:val="20"/>
                      <w:szCs w:val="20"/>
                    </w:rPr>
                    <w:t>. Dans toutes les cultures mixtes, l’inoculum est à une concentration finale de 10</w:t>
                  </w:r>
                  <w:r w:rsidRPr="000A56FA">
                    <w:rPr>
                      <w:rFonts w:ascii="Times New Roman" w:hAnsi="Times New Roman" w:cs="Times New Roman"/>
                      <w:sz w:val="20"/>
                      <w:szCs w:val="20"/>
                      <w:vertAlign w:val="superscript"/>
                    </w:rPr>
                    <w:t>6</w:t>
                  </w:r>
                  <w:r w:rsidRPr="000A56FA">
                    <w:rPr>
                      <w:rFonts w:ascii="Times New Roman" w:hAnsi="Times New Roman" w:cs="Times New Roman"/>
                      <w:sz w:val="20"/>
                      <w:szCs w:val="20"/>
                    </w:rPr>
                    <w:t xml:space="preserve"> UFC/ml et utilisé à 1% (1 :1). Les valeurs représentent la moyenne (m) de 9 déterminations ±SD (n=9). T0= 0h ; T1=2h ; T2=4h, T3=</w:t>
                  </w:r>
                  <w:r>
                    <w:rPr>
                      <w:rFonts w:ascii="Times New Roman" w:hAnsi="Times New Roman" w:cs="Times New Roman"/>
                      <w:sz w:val="20"/>
                      <w:szCs w:val="20"/>
                    </w:rPr>
                    <w:t>temps</w:t>
                  </w:r>
                  <w:r w:rsidRPr="000A56FA">
                    <w:rPr>
                      <w:rFonts w:ascii="Times New Roman" w:hAnsi="Times New Roman" w:cs="Times New Roman"/>
                      <w:sz w:val="20"/>
                      <w:szCs w:val="20"/>
                    </w:rPr>
                    <w:t xml:space="preserve"> de coagulation (pH</w:t>
                  </w:r>
                  <w:r>
                    <w:rPr>
                      <w:rFonts w:ascii="Times New Roman" w:hAnsi="Times New Roman" w:cs="Times New Roman"/>
                      <w:sz w:val="20"/>
                      <w:szCs w:val="20"/>
                    </w:rPr>
                    <w:t xml:space="preserve"> </w:t>
                  </w:r>
                  <w:r w:rsidRPr="000A56FA">
                    <w:rPr>
                      <w:rFonts w:ascii="Times New Roman" w:hAnsi="Times New Roman" w:cs="Times New Roman"/>
                      <w:sz w:val="20"/>
                      <w:szCs w:val="20"/>
                    </w:rPr>
                    <w:t>5).</w:t>
                  </w:r>
                </w:p>
                <w:p w:rsidR="00310CA5" w:rsidRDefault="00310CA5" w:rsidP="006C66E7"/>
              </w:txbxContent>
            </v:textbox>
          </v:shape>
        </w:pict>
      </w:r>
      <w:r>
        <w:rPr>
          <w:rFonts w:asciiTheme="majorBidi" w:hAnsiTheme="majorBidi" w:cstheme="majorBidi"/>
          <w:noProof/>
          <w:lang w:eastAsia="fr-FR"/>
        </w:rPr>
        <w:pict>
          <v:shape id="_x0000_s2080" type="#_x0000_t202" style="position:absolute;margin-left:123.6pt;margin-top:174.1pt;width:204.75pt;height:189pt;z-index:251691008" strokecolor="white [3212]">
            <v:textbox>
              <w:txbxContent>
                <w:p w:rsidR="00310CA5" w:rsidRDefault="00310CA5" w:rsidP="006C66E7">
                  <w:pPr>
                    <w:ind w:firstLine="0"/>
                  </w:pPr>
                  <w:r w:rsidRPr="002F219E">
                    <w:rPr>
                      <w:noProof/>
                      <w:lang w:eastAsia="fr-FR"/>
                    </w:rPr>
                    <w:drawing>
                      <wp:inline distT="0" distB="0" distL="0" distR="0">
                        <wp:extent cx="2407920" cy="2220637"/>
                        <wp:effectExtent l="57150" t="19050" r="0" b="0"/>
                        <wp:docPr id="705" name="Graphique 705"/>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txbxContent>
            </v:textbox>
          </v:shape>
        </w:pict>
      </w:r>
      <w:r>
        <w:rPr>
          <w:rFonts w:asciiTheme="majorBidi" w:hAnsiTheme="majorBidi" w:cstheme="majorBidi"/>
          <w:noProof/>
          <w:lang w:eastAsia="fr-FR"/>
        </w:rPr>
        <w:pict>
          <v:shape id="_x0000_s2079" type="#_x0000_t202" style="position:absolute;margin-left:226.35pt;margin-top:4.6pt;width:205.5pt;height:176.25pt;z-index:251689984" strokecolor="white [3212]">
            <v:textbox>
              <w:txbxContent>
                <w:p w:rsidR="00310CA5" w:rsidRPr="002F219E" w:rsidRDefault="00310CA5" w:rsidP="006C66E7">
                  <w:pPr>
                    <w:ind w:firstLine="0"/>
                  </w:pPr>
                  <w:r w:rsidRPr="002F219E">
                    <w:rPr>
                      <w:noProof/>
                      <w:lang w:eastAsia="fr-FR"/>
                    </w:rPr>
                    <w:drawing>
                      <wp:inline distT="0" distB="0" distL="0" distR="0">
                        <wp:extent cx="2379345" cy="1990725"/>
                        <wp:effectExtent l="57150" t="0" r="20955" b="0"/>
                        <wp:docPr id="704" name="Graphique 70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txbxContent>
            </v:textbox>
          </v:shape>
        </w:pict>
      </w:r>
      <w:r>
        <w:rPr>
          <w:rFonts w:asciiTheme="majorBidi" w:hAnsiTheme="majorBidi" w:cstheme="majorBidi"/>
          <w:noProof/>
          <w:lang w:eastAsia="fr-FR"/>
        </w:rPr>
        <w:pict>
          <v:shape id="_x0000_s2078" type="#_x0000_t202" style="position:absolute;margin-left:14.1pt;margin-top:4.6pt;width:212.25pt;height:180pt;z-index:251688960" strokecolor="white [3212]">
            <v:textbox>
              <w:txbxContent>
                <w:p w:rsidR="00310CA5" w:rsidRDefault="00310CA5" w:rsidP="006C66E7">
                  <w:pPr>
                    <w:ind w:firstLine="0"/>
                  </w:pPr>
                  <w:r w:rsidRPr="002F219E">
                    <w:rPr>
                      <w:noProof/>
                      <w:lang w:eastAsia="fr-FR"/>
                    </w:rPr>
                    <w:drawing>
                      <wp:inline distT="0" distB="0" distL="0" distR="0">
                        <wp:extent cx="2503170" cy="1967040"/>
                        <wp:effectExtent l="57150" t="19050" r="11430" b="0"/>
                        <wp:docPr id="63" name="Graphique 6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txbxContent>
            </v:textbox>
          </v:shape>
        </w:pict>
      </w:r>
      <w:r w:rsidR="006C66E7">
        <w:rPr>
          <w:rFonts w:asciiTheme="majorBidi" w:hAnsiTheme="majorBidi" w:cstheme="majorBidi"/>
        </w:rPr>
        <w:br w:type="page"/>
      </w:r>
    </w:p>
    <w:p w:rsidR="006C66E7" w:rsidRDefault="006F133D" w:rsidP="006C66E7">
      <w:pPr>
        <w:spacing w:before="0" w:after="0" w:line="276" w:lineRule="auto"/>
        <w:ind w:firstLine="0"/>
        <w:rPr>
          <w:rFonts w:asciiTheme="majorBidi" w:hAnsiTheme="majorBidi" w:cstheme="majorBidi"/>
        </w:rPr>
      </w:pPr>
      <w:r>
        <w:rPr>
          <w:rFonts w:asciiTheme="majorBidi" w:hAnsiTheme="majorBidi" w:cstheme="majorBidi"/>
          <w:noProof/>
          <w:lang w:eastAsia="fr-FR"/>
        </w:rPr>
        <w:lastRenderedPageBreak/>
        <w:pict>
          <v:shape id="_x0000_s2090" type="#_x0000_t202" style="position:absolute;margin-left:16.35pt;margin-top:552.1pt;width:419.25pt;height:108pt;z-index:251701248" strokecolor="white [3212]">
            <v:textbox>
              <w:txbxContent>
                <w:p w:rsidR="00310CA5" w:rsidRPr="000A56FA" w:rsidRDefault="00310CA5" w:rsidP="006C66E7">
                  <w:pPr>
                    <w:ind w:left="851" w:hanging="993"/>
                    <w:jc w:val="both"/>
                    <w:rPr>
                      <w:rFonts w:ascii="Times New Roman" w:hAnsi="Times New Roman" w:cs="Times New Roman"/>
                      <w:sz w:val="20"/>
                      <w:szCs w:val="20"/>
                    </w:rPr>
                  </w:pPr>
                  <w:r w:rsidRPr="00A1575D">
                    <w:rPr>
                      <w:rFonts w:ascii="Times New Roman" w:hAnsi="Times New Roman" w:cs="Times New Roman"/>
                      <w:b/>
                      <w:bCs/>
                      <w:sz w:val="20"/>
                      <w:szCs w:val="20"/>
                      <w:u w:val="single"/>
                    </w:rPr>
                    <w:t xml:space="preserve">Figure </w:t>
                  </w:r>
                  <w:r>
                    <w:rPr>
                      <w:rFonts w:ascii="Times New Roman" w:hAnsi="Times New Roman" w:cs="Times New Roman"/>
                      <w:b/>
                      <w:bCs/>
                      <w:sz w:val="20"/>
                      <w:szCs w:val="20"/>
                      <w:u w:val="single"/>
                    </w:rPr>
                    <w:t>7</w:t>
                  </w:r>
                  <w:r w:rsidRPr="000A56FA">
                    <w:rPr>
                      <w:rFonts w:ascii="Times New Roman" w:hAnsi="Times New Roman" w:cs="Times New Roman"/>
                      <w:sz w:val="20"/>
                      <w:szCs w:val="20"/>
                    </w:rPr>
                    <w:t xml:space="preserve"> : Cinétique </w:t>
                  </w:r>
                  <w:r w:rsidRPr="00A1575D">
                    <w:rPr>
                      <w:rFonts w:ascii="Times New Roman" w:hAnsi="Times New Roman" w:cs="Times New Roman"/>
                      <w:b/>
                      <w:bCs/>
                      <w:sz w:val="20"/>
                      <w:szCs w:val="20"/>
                    </w:rPr>
                    <w:t>de croissance</w:t>
                  </w:r>
                  <w:r w:rsidRPr="000A56FA">
                    <w:rPr>
                      <w:rFonts w:ascii="Times New Roman" w:hAnsi="Times New Roman" w:cs="Times New Roman"/>
                      <w:sz w:val="20"/>
                      <w:szCs w:val="20"/>
                    </w:rPr>
                    <w:t xml:space="preserve"> de la souche lactique </w:t>
                  </w:r>
                  <w:r w:rsidRPr="00A1575D">
                    <w:rPr>
                      <w:rFonts w:ascii="Times New Roman" w:hAnsi="Times New Roman" w:cs="Times New Roman"/>
                      <w:b/>
                      <w:bCs/>
                      <w:i/>
                      <w:iCs/>
                      <w:sz w:val="20"/>
                      <w:szCs w:val="20"/>
                    </w:rPr>
                    <w:t>Lactobacillus bulgaricus</w:t>
                  </w:r>
                  <w:r w:rsidRPr="000A56FA">
                    <w:rPr>
                      <w:rFonts w:ascii="Times New Roman" w:hAnsi="Times New Roman" w:cs="Times New Roman"/>
                      <w:sz w:val="20"/>
                      <w:szCs w:val="20"/>
                    </w:rPr>
                    <w:t xml:space="preserve"> en culture mixte avec </w:t>
                  </w:r>
                  <w:r w:rsidRPr="000A56FA">
                    <w:rPr>
                      <w:rFonts w:ascii="Times New Roman" w:hAnsi="Times New Roman" w:cs="Times New Roman"/>
                      <w:i/>
                      <w:iCs/>
                      <w:sz w:val="20"/>
                      <w:szCs w:val="20"/>
                    </w:rPr>
                    <w:t>Streptococcus thermophilus</w:t>
                  </w:r>
                  <w:r w:rsidRPr="000A56FA">
                    <w:rPr>
                      <w:rFonts w:ascii="Times New Roman" w:hAnsi="Times New Roman" w:cs="Times New Roman"/>
                      <w:sz w:val="20"/>
                      <w:szCs w:val="20"/>
                    </w:rPr>
                    <w:t xml:space="preserve"> et une souche </w:t>
                  </w:r>
                  <w:r>
                    <w:rPr>
                      <w:rFonts w:ascii="Times New Roman" w:hAnsi="Times New Roman" w:cs="Times New Roman"/>
                      <w:sz w:val="20"/>
                      <w:szCs w:val="20"/>
                    </w:rPr>
                    <w:t xml:space="preserve">bénéfique </w:t>
                  </w:r>
                  <w:r w:rsidRPr="000A56FA">
                    <w:rPr>
                      <w:rFonts w:ascii="Times New Roman" w:hAnsi="Times New Roman" w:cs="Times New Roman"/>
                      <w:sz w:val="20"/>
                      <w:szCs w:val="20"/>
                    </w:rPr>
                    <w:t xml:space="preserve">BLR </w:t>
                  </w:r>
                  <w:r w:rsidRPr="000A56FA">
                    <w:rPr>
                      <w:rFonts w:ascii="Times New Roman" w:hAnsi="Times New Roman" w:cs="Times New Roman"/>
                      <w:b/>
                      <w:bCs/>
                      <w:sz w:val="20"/>
                      <w:szCs w:val="20"/>
                    </w:rPr>
                    <w:t>(A)</w:t>
                  </w:r>
                  <w:r w:rsidRPr="000A56FA">
                    <w:rPr>
                      <w:rFonts w:ascii="Times New Roman" w:hAnsi="Times New Roman" w:cs="Times New Roman"/>
                      <w:sz w:val="20"/>
                      <w:szCs w:val="20"/>
                    </w:rPr>
                    <w:t>; LbRE</w:t>
                  </w:r>
                  <w:r>
                    <w:rPr>
                      <w:rFonts w:ascii="Times New Roman" w:hAnsi="Times New Roman" w:cs="Times New Roman"/>
                      <w:sz w:val="20"/>
                      <w:szCs w:val="20"/>
                    </w:rPr>
                    <w:t>-</w:t>
                  </w:r>
                  <w:r w:rsidRPr="000A56FA">
                    <w:rPr>
                      <w:rFonts w:ascii="Times New Roman" w:hAnsi="Times New Roman" w:cs="Times New Roman"/>
                      <w:sz w:val="20"/>
                      <w:szCs w:val="20"/>
                    </w:rPr>
                    <w:t xml:space="preserve">LSAS </w:t>
                  </w:r>
                  <w:r w:rsidRPr="000A56FA">
                    <w:rPr>
                      <w:rFonts w:ascii="Times New Roman" w:hAnsi="Times New Roman" w:cs="Times New Roman"/>
                      <w:b/>
                      <w:bCs/>
                      <w:sz w:val="20"/>
                      <w:szCs w:val="20"/>
                    </w:rPr>
                    <w:t>(B)</w:t>
                  </w:r>
                  <w:r w:rsidRPr="000A56FA">
                    <w:rPr>
                      <w:rFonts w:ascii="Times New Roman" w:hAnsi="Times New Roman" w:cs="Times New Roman"/>
                      <w:sz w:val="20"/>
                      <w:szCs w:val="20"/>
                    </w:rPr>
                    <w:t>; Bb12 </w:t>
                  </w:r>
                  <w:r w:rsidRPr="000A56FA">
                    <w:rPr>
                      <w:rFonts w:ascii="Times New Roman" w:hAnsi="Times New Roman" w:cs="Times New Roman"/>
                      <w:b/>
                      <w:bCs/>
                      <w:sz w:val="20"/>
                      <w:szCs w:val="20"/>
                    </w:rPr>
                    <w:t>(C)</w:t>
                  </w:r>
                  <w:r w:rsidRPr="000A56FA">
                    <w:rPr>
                      <w:rFonts w:ascii="Times New Roman" w:hAnsi="Times New Roman" w:cs="Times New Roman"/>
                      <w:sz w:val="20"/>
                      <w:szCs w:val="20"/>
                    </w:rPr>
                    <w:t xml:space="preserve">; </w:t>
                  </w:r>
                  <w:r>
                    <w:rPr>
                      <w:rFonts w:ascii="Times New Roman" w:hAnsi="Times New Roman" w:cs="Times New Roman"/>
                      <w:sz w:val="20"/>
                      <w:szCs w:val="20"/>
                    </w:rPr>
                    <w:t xml:space="preserve">Lba </w:t>
                  </w:r>
                  <w:r w:rsidRPr="000A56FA">
                    <w:rPr>
                      <w:rFonts w:ascii="Times New Roman" w:hAnsi="Times New Roman" w:cs="Times New Roman"/>
                      <w:sz w:val="20"/>
                      <w:szCs w:val="20"/>
                    </w:rPr>
                    <w:t xml:space="preserve">CECT4529 </w:t>
                  </w:r>
                  <w:r w:rsidRPr="000A56FA">
                    <w:rPr>
                      <w:rFonts w:ascii="Times New Roman" w:hAnsi="Times New Roman" w:cs="Times New Roman"/>
                      <w:b/>
                      <w:bCs/>
                      <w:sz w:val="20"/>
                      <w:szCs w:val="20"/>
                    </w:rPr>
                    <w:t>(D)</w:t>
                  </w:r>
                  <w:r w:rsidRPr="000A56FA">
                    <w:rPr>
                      <w:rFonts w:ascii="Times New Roman" w:hAnsi="Times New Roman" w:cs="Times New Roman"/>
                      <w:sz w:val="20"/>
                      <w:szCs w:val="20"/>
                    </w:rPr>
                    <w:t xml:space="preserve"> </w:t>
                  </w:r>
                  <w:r>
                    <w:rPr>
                      <w:rFonts w:ascii="Times New Roman" w:hAnsi="Times New Roman" w:cs="Times New Roman"/>
                      <w:sz w:val="20"/>
                      <w:szCs w:val="20"/>
                    </w:rPr>
                    <w:t>ou</w:t>
                  </w:r>
                  <w:r w:rsidRPr="000A56FA">
                    <w:rPr>
                      <w:rFonts w:ascii="Times New Roman" w:hAnsi="Times New Roman" w:cs="Times New Roman"/>
                      <w:sz w:val="20"/>
                      <w:szCs w:val="20"/>
                    </w:rPr>
                    <w:t xml:space="preserve"> </w:t>
                  </w:r>
                  <w:r>
                    <w:rPr>
                      <w:rFonts w:ascii="Times New Roman" w:hAnsi="Times New Roman" w:cs="Times New Roman"/>
                      <w:sz w:val="20"/>
                      <w:szCs w:val="20"/>
                    </w:rPr>
                    <w:t xml:space="preserve">Lbp </w:t>
                  </w:r>
                  <w:r w:rsidRPr="000A56FA">
                    <w:rPr>
                      <w:rFonts w:ascii="Times New Roman" w:hAnsi="Times New Roman" w:cs="Times New Roman"/>
                      <w:sz w:val="20"/>
                      <w:szCs w:val="20"/>
                    </w:rPr>
                    <w:t xml:space="preserve">CECT748 </w:t>
                  </w:r>
                  <w:r w:rsidRPr="000A56FA">
                    <w:rPr>
                      <w:rFonts w:ascii="Times New Roman" w:hAnsi="Times New Roman" w:cs="Times New Roman"/>
                      <w:b/>
                      <w:bCs/>
                      <w:sz w:val="20"/>
                      <w:szCs w:val="20"/>
                    </w:rPr>
                    <w:t>(E)</w:t>
                  </w:r>
                  <w:r w:rsidRPr="000A56FA">
                    <w:rPr>
                      <w:rFonts w:ascii="Times New Roman" w:hAnsi="Times New Roman" w:cs="Times New Roman"/>
                      <w:sz w:val="20"/>
                      <w:szCs w:val="20"/>
                    </w:rPr>
                    <w:t xml:space="preserve"> à 37°C sur milieu lait. </w:t>
                  </w:r>
                  <w:r w:rsidRPr="003468B2">
                    <w:rPr>
                      <w:rFonts w:ascii="Times New Roman" w:hAnsi="Times New Roman" w:cs="Times New Roman"/>
                      <w:sz w:val="20"/>
                      <w:szCs w:val="20"/>
                    </w:rPr>
                    <w:t>Cultures mixtes témoin (</w:t>
                  </w:r>
                  <w:r w:rsidRPr="00C44983">
                    <w:rPr>
                      <w:rFonts w:ascii="Times New Roman" w:hAnsi="Times New Roman" w:cs="Times New Roman"/>
                      <w:noProof/>
                      <w:color w:val="0070C0"/>
                      <w:sz w:val="20"/>
                      <w:szCs w:val="20"/>
                      <w:lang w:eastAsia="fr-FR"/>
                    </w:rPr>
                    <w:t>■</w:t>
                  </w:r>
                  <w:r w:rsidRPr="003468B2">
                    <w:rPr>
                      <w:rFonts w:ascii="Times New Roman" w:hAnsi="Times New Roman" w:cs="Times New Roman"/>
                      <w:sz w:val="20"/>
                      <w:szCs w:val="20"/>
                    </w:rPr>
                    <w:t xml:space="preserve">), cultures mixtes additionnées de 0,53% </w:t>
                  </w:r>
                  <w:r>
                    <w:rPr>
                      <w:rFonts w:ascii="Times New Roman" w:hAnsi="Times New Roman" w:cs="Times New Roman"/>
                      <w:sz w:val="20"/>
                      <w:szCs w:val="20"/>
                    </w:rPr>
                    <w:t xml:space="preserve">(P/V) : </w:t>
                  </w:r>
                  <w:r w:rsidRPr="003468B2">
                    <w:rPr>
                      <w:rFonts w:ascii="Times New Roman" w:hAnsi="Times New Roman" w:cs="Times New Roman"/>
                      <w:sz w:val="20"/>
                      <w:szCs w:val="20"/>
                    </w:rPr>
                    <w:t>de lactosérum doux (</w:t>
                  </w:r>
                  <w:r w:rsidRPr="007A6C8B">
                    <w:rPr>
                      <w:rFonts w:ascii="Times New Roman" w:hAnsi="Times New Roman" w:cs="Times New Roman"/>
                      <w:color w:val="FF9900"/>
                      <w:sz w:val="20"/>
                      <w:szCs w:val="20"/>
                    </w:rPr>
                    <w:t>■</w:t>
                  </w:r>
                  <w:r w:rsidRPr="003468B2">
                    <w:rPr>
                      <w:rFonts w:ascii="Times New Roman" w:hAnsi="Times New Roman" w:cs="Times New Roman"/>
                      <w:sz w:val="20"/>
                      <w:szCs w:val="20"/>
                    </w:rPr>
                    <w:t>), de Promilk 852A2 (</w:t>
                  </w:r>
                  <w:r w:rsidRPr="00C44983">
                    <w:rPr>
                      <w:rFonts w:ascii="Times New Roman" w:hAnsi="Times New Roman" w:cs="Times New Roman"/>
                      <w:color w:val="92D050"/>
                      <w:sz w:val="20"/>
                      <w:szCs w:val="20"/>
                    </w:rPr>
                    <w:t>■</w:t>
                  </w:r>
                  <w:r w:rsidRPr="003468B2">
                    <w:rPr>
                      <w:rFonts w:ascii="Times New Roman" w:hAnsi="Times New Roman" w:cs="Times New Roman"/>
                      <w:sz w:val="20"/>
                      <w:szCs w:val="20"/>
                    </w:rPr>
                    <w:t>),</w:t>
                  </w:r>
                  <w:r>
                    <w:rPr>
                      <w:rFonts w:ascii="Times New Roman" w:hAnsi="Times New Roman" w:cs="Times New Roman"/>
                      <w:sz w:val="20"/>
                      <w:szCs w:val="20"/>
                    </w:rPr>
                    <w:t xml:space="preserve"> </w:t>
                  </w:r>
                  <w:r w:rsidRPr="003468B2">
                    <w:rPr>
                      <w:rFonts w:ascii="Times New Roman" w:hAnsi="Times New Roman" w:cs="Times New Roman"/>
                      <w:sz w:val="20"/>
                      <w:szCs w:val="20"/>
                    </w:rPr>
                    <w:t>de Promilk C502 (</w:t>
                  </w:r>
                  <w:r w:rsidRPr="00C44983">
                    <w:rPr>
                      <w:rFonts w:ascii="Times New Roman" w:hAnsi="Times New Roman" w:cs="Times New Roman"/>
                      <w:color w:val="FF33CC"/>
                      <w:sz w:val="20"/>
                      <w:szCs w:val="20"/>
                    </w:rPr>
                    <w:t>■</w:t>
                  </w:r>
                  <w:r w:rsidRPr="003468B2">
                    <w:rPr>
                      <w:rFonts w:ascii="Times New Roman" w:hAnsi="Times New Roman" w:cs="Times New Roman"/>
                      <w:sz w:val="20"/>
                      <w:szCs w:val="20"/>
                    </w:rPr>
                    <w:t>)</w:t>
                  </w:r>
                  <w:r>
                    <w:rPr>
                      <w:rFonts w:ascii="Times New Roman" w:hAnsi="Times New Roman" w:cs="Times New Roman"/>
                      <w:sz w:val="20"/>
                      <w:szCs w:val="20"/>
                    </w:rPr>
                    <w:t xml:space="preserve"> ou </w:t>
                  </w:r>
                  <w:r w:rsidRPr="003468B2">
                    <w:rPr>
                      <w:rFonts w:ascii="Times New Roman" w:hAnsi="Times New Roman" w:cs="Times New Roman"/>
                      <w:sz w:val="20"/>
                      <w:szCs w:val="20"/>
                    </w:rPr>
                    <w:t>d’hydrolysat de caséine (</w:t>
                  </w:r>
                  <w:r w:rsidRPr="00C44983">
                    <w:rPr>
                      <w:rFonts w:ascii="Times New Roman" w:hAnsi="Times New Roman" w:cs="Times New Roman"/>
                      <w:color w:val="990099"/>
                      <w:sz w:val="20"/>
                      <w:szCs w:val="20"/>
                    </w:rPr>
                    <w:t>■</w:t>
                  </w:r>
                  <w:r>
                    <w:rPr>
                      <w:rFonts w:ascii="Times New Roman" w:hAnsi="Times New Roman" w:cs="Times New Roman"/>
                      <w:sz w:val="20"/>
                      <w:szCs w:val="20"/>
                    </w:rPr>
                    <w:t>)</w:t>
                  </w:r>
                  <w:r w:rsidRPr="000A56FA">
                    <w:rPr>
                      <w:rFonts w:ascii="Times New Roman" w:hAnsi="Times New Roman" w:cs="Times New Roman"/>
                      <w:sz w:val="20"/>
                      <w:szCs w:val="20"/>
                    </w:rPr>
                    <w:t>. Dans toutes les cultures mixtes, l’inoculum est</w:t>
                  </w:r>
                  <w:r>
                    <w:rPr>
                      <w:rFonts w:ascii="Times New Roman" w:hAnsi="Times New Roman" w:cs="Times New Roman"/>
                      <w:sz w:val="20"/>
                      <w:szCs w:val="20"/>
                    </w:rPr>
                    <w:t xml:space="preserve"> à une concentration finale de </w:t>
                  </w:r>
                  <w:r w:rsidRPr="000A56FA">
                    <w:rPr>
                      <w:rFonts w:ascii="Times New Roman" w:hAnsi="Times New Roman" w:cs="Times New Roman"/>
                      <w:sz w:val="20"/>
                      <w:szCs w:val="20"/>
                    </w:rPr>
                    <w:t>10</w:t>
                  </w:r>
                  <w:r w:rsidRPr="000A56FA">
                    <w:rPr>
                      <w:rFonts w:ascii="Times New Roman" w:hAnsi="Times New Roman" w:cs="Times New Roman"/>
                      <w:sz w:val="20"/>
                      <w:szCs w:val="20"/>
                      <w:vertAlign w:val="superscript"/>
                    </w:rPr>
                    <w:t>6</w:t>
                  </w:r>
                  <w:r w:rsidRPr="000A56FA">
                    <w:rPr>
                      <w:rFonts w:ascii="Times New Roman" w:hAnsi="Times New Roman" w:cs="Times New Roman"/>
                      <w:sz w:val="20"/>
                      <w:szCs w:val="20"/>
                    </w:rPr>
                    <w:t xml:space="preserve"> UFC/ml et utilisé à 1% (1 :1). Les valeurs représentent la moyenne (m) de 9 déterminations ±S</w:t>
                  </w:r>
                  <w:r>
                    <w:rPr>
                      <w:rFonts w:ascii="Times New Roman" w:hAnsi="Times New Roman" w:cs="Times New Roman"/>
                      <w:sz w:val="20"/>
                      <w:szCs w:val="20"/>
                    </w:rPr>
                    <w:t>EM</w:t>
                  </w:r>
                  <w:r w:rsidRPr="000A56FA">
                    <w:rPr>
                      <w:rFonts w:ascii="Times New Roman" w:hAnsi="Times New Roman" w:cs="Times New Roman"/>
                      <w:sz w:val="20"/>
                      <w:szCs w:val="20"/>
                    </w:rPr>
                    <w:t xml:space="preserve"> (n</w:t>
                  </w:r>
                  <w:r>
                    <w:rPr>
                      <w:rFonts w:ascii="Times New Roman" w:hAnsi="Times New Roman" w:cs="Times New Roman"/>
                      <w:sz w:val="20"/>
                      <w:szCs w:val="20"/>
                    </w:rPr>
                    <w:t xml:space="preserve"> </w:t>
                  </w:r>
                  <w:r w:rsidRPr="000A56FA">
                    <w:rPr>
                      <w:rFonts w:ascii="Times New Roman" w:hAnsi="Times New Roman" w:cs="Times New Roman"/>
                      <w:sz w:val="20"/>
                      <w:szCs w:val="20"/>
                    </w:rPr>
                    <w:t>=</w:t>
                  </w:r>
                  <w:r>
                    <w:rPr>
                      <w:rFonts w:ascii="Times New Roman" w:hAnsi="Times New Roman" w:cs="Times New Roman"/>
                      <w:sz w:val="20"/>
                      <w:szCs w:val="20"/>
                    </w:rPr>
                    <w:t xml:space="preserve"> </w:t>
                  </w:r>
                  <w:r w:rsidRPr="000A56FA">
                    <w:rPr>
                      <w:rFonts w:ascii="Times New Roman" w:hAnsi="Times New Roman" w:cs="Times New Roman"/>
                      <w:sz w:val="20"/>
                      <w:szCs w:val="20"/>
                    </w:rPr>
                    <w:t>9). T0</w:t>
                  </w:r>
                  <w:r>
                    <w:rPr>
                      <w:rFonts w:ascii="Times New Roman" w:hAnsi="Times New Roman" w:cs="Times New Roman"/>
                      <w:sz w:val="20"/>
                      <w:szCs w:val="20"/>
                    </w:rPr>
                    <w:t xml:space="preserve"> </w:t>
                  </w:r>
                  <w:r w:rsidRPr="000A56FA">
                    <w:rPr>
                      <w:rFonts w:ascii="Times New Roman" w:hAnsi="Times New Roman" w:cs="Times New Roman"/>
                      <w:sz w:val="20"/>
                      <w:szCs w:val="20"/>
                    </w:rPr>
                    <w:t xml:space="preserve">= </w:t>
                  </w:r>
                  <w:r>
                    <w:rPr>
                      <w:rFonts w:ascii="Times New Roman" w:hAnsi="Times New Roman" w:cs="Times New Roman"/>
                      <w:sz w:val="20"/>
                      <w:szCs w:val="20"/>
                    </w:rPr>
                    <w:t xml:space="preserve"> </w:t>
                  </w:r>
                  <w:r w:rsidRPr="000A56FA">
                    <w:rPr>
                      <w:rFonts w:ascii="Times New Roman" w:hAnsi="Times New Roman" w:cs="Times New Roman"/>
                      <w:sz w:val="20"/>
                      <w:szCs w:val="20"/>
                    </w:rPr>
                    <w:t>0h ; T1</w:t>
                  </w:r>
                  <w:r>
                    <w:rPr>
                      <w:rFonts w:ascii="Times New Roman" w:hAnsi="Times New Roman" w:cs="Times New Roman"/>
                      <w:sz w:val="20"/>
                      <w:szCs w:val="20"/>
                    </w:rPr>
                    <w:t xml:space="preserve"> </w:t>
                  </w:r>
                  <w:r w:rsidRPr="000A56FA">
                    <w:rPr>
                      <w:rFonts w:ascii="Times New Roman" w:hAnsi="Times New Roman" w:cs="Times New Roman"/>
                      <w:sz w:val="20"/>
                      <w:szCs w:val="20"/>
                    </w:rPr>
                    <w:t>=</w:t>
                  </w:r>
                  <w:r>
                    <w:rPr>
                      <w:rFonts w:ascii="Times New Roman" w:hAnsi="Times New Roman" w:cs="Times New Roman"/>
                      <w:sz w:val="20"/>
                      <w:szCs w:val="20"/>
                    </w:rPr>
                    <w:t xml:space="preserve"> </w:t>
                  </w:r>
                  <w:r w:rsidRPr="000A56FA">
                    <w:rPr>
                      <w:rFonts w:ascii="Times New Roman" w:hAnsi="Times New Roman" w:cs="Times New Roman"/>
                      <w:sz w:val="20"/>
                      <w:szCs w:val="20"/>
                    </w:rPr>
                    <w:t>2h ; T2</w:t>
                  </w:r>
                  <w:r>
                    <w:rPr>
                      <w:rFonts w:ascii="Times New Roman" w:hAnsi="Times New Roman" w:cs="Times New Roman"/>
                      <w:sz w:val="20"/>
                      <w:szCs w:val="20"/>
                    </w:rPr>
                    <w:t xml:space="preserve"> </w:t>
                  </w:r>
                  <w:r w:rsidRPr="000A56FA">
                    <w:rPr>
                      <w:rFonts w:ascii="Times New Roman" w:hAnsi="Times New Roman" w:cs="Times New Roman"/>
                      <w:sz w:val="20"/>
                      <w:szCs w:val="20"/>
                    </w:rPr>
                    <w:t>=</w:t>
                  </w:r>
                  <w:r>
                    <w:rPr>
                      <w:rFonts w:ascii="Times New Roman" w:hAnsi="Times New Roman" w:cs="Times New Roman"/>
                      <w:sz w:val="20"/>
                      <w:szCs w:val="20"/>
                    </w:rPr>
                    <w:t xml:space="preserve"> </w:t>
                  </w:r>
                  <w:r w:rsidRPr="000A56FA">
                    <w:rPr>
                      <w:rFonts w:ascii="Times New Roman" w:hAnsi="Times New Roman" w:cs="Times New Roman"/>
                      <w:sz w:val="20"/>
                      <w:szCs w:val="20"/>
                    </w:rPr>
                    <w:t>4h, T3</w:t>
                  </w:r>
                  <w:r>
                    <w:rPr>
                      <w:rFonts w:ascii="Times New Roman" w:hAnsi="Times New Roman" w:cs="Times New Roman"/>
                      <w:sz w:val="20"/>
                      <w:szCs w:val="20"/>
                    </w:rPr>
                    <w:t xml:space="preserve"> </w:t>
                  </w:r>
                  <w:r w:rsidRPr="000A56FA">
                    <w:rPr>
                      <w:rFonts w:ascii="Times New Roman" w:hAnsi="Times New Roman" w:cs="Times New Roman"/>
                      <w:sz w:val="20"/>
                      <w:szCs w:val="20"/>
                    </w:rPr>
                    <w:t>=</w:t>
                  </w:r>
                  <w:r>
                    <w:rPr>
                      <w:rFonts w:ascii="Times New Roman" w:hAnsi="Times New Roman" w:cs="Times New Roman"/>
                      <w:sz w:val="20"/>
                      <w:szCs w:val="20"/>
                    </w:rPr>
                    <w:t xml:space="preserve"> temps</w:t>
                  </w:r>
                  <w:r w:rsidRPr="000A56FA">
                    <w:rPr>
                      <w:rFonts w:ascii="Times New Roman" w:hAnsi="Times New Roman" w:cs="Times New Roman"/>
                      <w:sz w:val="20"/>
                      <w:szCs w:val="20"/>
                    </w:rPr>
                    <w:t xml:space="preserve"> de coagulation (pH</w:t>
                  </w:r>
                  <w:r>
                    <w:rPr>
                      <w:rFonts w:ascii="Times New Roman" w:hAnsi="Times New Roman" w:cs="Times New Roman"/>
                      <w:sz w:val="20"/>
                      <w:szCs w:val="20"/>
                    </w:rPr>
                    <w:t xml:space="preserve"> </w:t>
                  </w:r>
                  <w:r w:rsidRPr="000A56FA">
                    <w:rPr>
                      <w:rFonts w:ascii="Times New Roman" w:hAnsi="Times New Roman" w:cs="Times New Roman"/>
                      <w:sz w:val="20"/>
                      <w:szCs w:val="20"/>
                    </w:rPr>
                    <w:t>5).</w:t>
                  </w:r>
                </w:p>
                <w:p w:rsidR="00310CA5" w:rsidRDefault="00310CA5" w:rsidP="006C66E7"/>
              </w:txbxContent>
            </v:textbox>
          </v:shape>
        </w:pict>
      </w:r>
      <w:r>
        <w:rPr>
          <w:rFonts w:asciiTheme="majorBidi" w:hAnsiTheme="majorBidi" w:cstheme="majorBidi"/>
          <w:noProof/>
          <w:lang w:eastAsia="fr-FR"/>
        </w:rPr>
        <w:pict>
          <v:shape id="_x0000_s2084" type="#_x0000_t202" style="position:absolute;margin-left:6.6pt;margin-top:-8.15pt;width:432.75pt;height:685.5pt;z-index:251695104">
            <v:textbox>
              <w:txbxContent>
                <w:p w:rsidR="00310CA5" w:rsidRDefault="00310CA5" w:rsidP="006C66E7"/>
              </w:txbxContent>
            </v:textbox>
          </v:shape>
        </w:pict>
      </w:r>
      <w:r>
        <w:rPr>
          <w:rFonts w:asciiTheme="majorBidi" w:hAnsiTheme="majorBidi" w:cstheme="majorBidi"/>
          <w:noProof/>
          <w:lang w:eastAsia="fr-FR"/>
        </w:rPr>
        <w:pict>
          <v:shape id="_x0000_s2088" type="#_x0000_t202" style="position:absolute;margin-left:12.6pt;margin-top:358.6pt;width:209.25pt;height:174pt;z-index:251699200" strokecolor="white [3212]">
            <v:textbox>
              <w:txbxContent>
                <w:p w:rsidR="00310CA5" w:rsidRDefault="00310CA5" w:rsidP="006C66E7">
                  <w:pPr>
                    <w:ind w:firstLine="0"/>
                  </w:pPr>
                  <w:r w:rsidRPr="002F219E">
                    <w:rPr>
                      <w:noProof/>
                      <w:lang w:eastAsia="fr-FR"/>
                    </w:rPr>
                    <w:drawing>
                      <wp:inline distT="0" distB="0" distL="0" distR="0">
                        <wp:extent cx="2465070" cy="2009775"/>
                        <wp:effectExtent l="19050" t="19050" r="11430" b="0"/>
                        <wp:docPr id="710" name="Graphique 7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txbxContent>
            </v:textbox>
          </v:shape>
        </w:pict>
      </w:r>
      <w:r>
        <w:rPr>
          <w:rFonts w:asciiTheme="majorBidi" w:hAnsiTheme="majorBidi" w:cstheme="majorBidi"/>
          <w:noProof/>
          <w:lang w:eastAsia="fr-FR"/>
        </w:rPr>
        <w:pict>
          <v:shape id="_x0000_s2089" type="#_x0000_t202" style="position:absolute;margin-left:226.35pt;margin-top:362.35pt;width:205.5pt;height:174pt;z-index:251700224" strokecolor="white [3212]">
            <v:textbox>
              <w:txbxContent>
                <w:p w:rsidR="00310CA5" w:rsidRDefault="00310CA5" w:rsidP="006C66E7">
                  <w:pPr>
                    <w:ind w:firstLine="0"/>
                  </w:pPr>
                  <w:r w:rsidRPr="002F219E">
                    <w:rPr>
                      <w:noProof/>
                      <w:lang w:eastAsia="fr-FR"/>
                    </w:rPr>
                    <w:drawing>
                      <wp:inline distT="0" distB="0" distL="0" distR="0">
                        <wp:extent cx="2428875" cy="2066925"/>
                        <wp:effectExtent l="57150" t="0" r="0" b="0"/>
                        <wp:docPr id="711" name="Graphique 7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txbxContent>
            </v:textbox>
          </v:shape>
        </w:pict>
      </w:r>
      <w:r>
        <w:rPr>
          <w:rFonts w:asciiTheme="majorBidi" w:hAnsiTheme="majorBidi" w:cstheme="majorBidi"/>
          <w:noProof/>
          <w:lang w:eastAsia="fr-FR"/>
        </w:rPr>
        <w:pict>
          <v:shape id="_x0000_s2087" type="#_x0000_t202" style="position:absolute;margin-left:121.35pt;margin-top:185.35pt;width:218.25pt;height:183.75pt;z-index:251698176" strokecolor="white [3212]">
            <v:textbox>
              <w:txbxContent>
                <w:p w:rsidR="00310CA5" w:rsidRDefault="00310CA5" w:rsidP="006C66E7">
                  <w:pPr>
                    <w:ind w:firstLine="0"/>
                  </w:pPr>
                  <w:r w:rsidRPr="002F219E">
                    <w:rPr>
                      <w:noProof/>
                      <w:lang w:eastAsia="fr-FR"/>
                    </w:rPr>
                    <w:drawing>
                      <wp:inline distT="0" distB="0" distL="0" distR="0">
                        <wp:extent cx="2579370" cy="2128376"/>
                        <wp:effectExtent l="19050" t="0" r="11430" b="5224"/>
                        <wp:docPr id="709" name="Graphique 709"/>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txbxContent>
            </v:textbox>
          </v:shape>
        </w:pict>
      </w:r>
      <w:r>
        <w:rPr>
          <w:rFonts w:asciiTheme="majorBidi" w:hAnsiTheme="majorBidi" w:cstheme="majorBidi"/>
          <w:noProof/>
          <w:lang w:eastAsia="fr-FR"/>
        </w:rPr>
        <w:pict>
          <v:shape id="_x0000_s2086" type="#_x0000_t202" style="position:absolute;margin-left:221.85pt;margin-top:12.1pt;width:210pt;height:192.75pt;z-index:251697152" strokecolor="white [3212]">
            <v:textbox>
              <w:txbxContent>
                <w:p w:rsidR="00310CA5" w:rsidRDefault="00310CA5" w:rsidP="006C66E7">
                  <w:pPr>
                    <w:ind w:firstLine="0"/>
                  </w:pPr>
                  <w:r w:rsidRPr="002F219E">
                    <w:rPr>
                      <w:noProof/>
                      <w:lang w:eastAsia="fr-FR"/>
                    </w:rPr>
                    <w:drawing>
                      <wp:inline distT="0" distB="0" distL="0" distR="0">
                        <wp:extent cx="2533650" cy="2019300"/>
                        <wp:effectExtent l="57150" t="0" r="19050" b="0"/>
                        <wp:docPr id="708" name="Graphique 70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txbxContent>
            </v:textbox>
          </v:shape>
        </w:pict>
      </w:r>
      <w:r>
        <w:rPr>
          <w:rFonts w:asciiTheme="majorBidi" w:hAnsiTheme="majorBidi" w:cstheme="majorBidi"/>
          <w:noProof/>
          <w:lang w:eastAsia="fr-FR"/>
        </w:rPr>
        <w:pict>
          <v:shape id="_x0000_s2085" type="#_x0000_t202" style="position:absolute;margin-left:12.6pt;margin-top:12.1pt;width:209.25pt;height:173.25pt;z-index:251696128" strokecolor="white [3212]">
            <v:textbox>
              <w:txbxContent>
                <w:p w:rsidR="00310CA5" w:rsidRDefault="00310CA5" w:rsidP="006C66E7">
                  <w:pPr>
                    <w:ind w:firstLine="0"/>
                  </w:pPr>
                  <w:r w:rsidRPr="002F219E">
                    <w:rPr>
                      <w:noProof/>
                      <w:lang w:eastAsia="fr-FR"/>
                    </w:rPr>
                    <w:drawing>
                      <wp:inline distT="0" distB="0" distL="0" distR="0">
                        <wp:extent cx="2465070" cy="2004510"/>
                        <wp:effectExtent l="38100" t="19050" r="11430" b="0"/>
                        <wp:docPr id="707" name="Graphique 70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txbxContent>
            </v:textbox>
          </v:shape>
        </w:pict>
      </w:r>
      <w:r w:rsidR="006C66E7">
        <w:rPr>
          <w:rFonts w:asciiTheme="majorBidi" w:hAnsiTheme="majorBidi" w:cstheme="majorBidi"/>
        </w:rPr>
        <w:br w:type="page"/>
      </w:r>
    </w:p>
    <w:p w:rsidR="006C66E7" w:rsidRPr="0067253E"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lastRenderedPageBreak/>
        <w:t xml:space="preserve">Le même effet stimulateur du lactosérum doux sur la croissance des souches bénéfiques a été également observé avec les ferments lactiques dont la biomasse varie selon la souche bénéfique qui y est associée de 9.8 à 10.25 logUFC/ml pour </w:t>
      </w:r>
      <w:r w:rsidRPr="0067253E">
        <w:rPr>
          <w:rFonts w:asciiTheme="majorBidi" w:hAnsiTheme="majorBidi" w:cstheme="majorBidi"/>
          <w:i/>
          <w:iCs/>
        </w:rPr>
        <w:t>Streptococcus thermophilus</w:t>
      </w:r>
      <w:r w:rsidRPr="0067253E">
        <w:rPr>
          <w:rFonts w:asciiTheme="majorBidi" w:hAnsiTheme="majorBidi" w:cstheme="majorBidi"/>
        </w:rPr>
        <w:t xml:space="preserve"> et 8.48 à 9.07 logUFC/ml pour </w:t>
      </w:r>
      <w:r w:rsidRPr="0067253E">
        <w:rPr>
          <w:rFonts w:asciiTheme="majorBidi" w:hAnsiTheme="majorBidi" w:cstheme="majorBidi"/>
          <w:i/>
          <w:iCs/>
        </w:rPr>
        <w:t>Lactobacillus delbruekii</w:t>
      </w:r>
      <w:r w:rsidRPr="0067253E">
        <w:rPr>
          <w:rFonts w:asciiTheme="majorBidi" w:hAnsiTheme="majorBidi" w:cstheme="majorBidi"/>
        </w:rPr>
        <w:t xml:space="preserve"> ssp </w:t>
      </w:r>
      <w:r w:rsidRPr="0067253E">
        <w:rPr>
          <w:rFonts w:asciiTheme="majorBidi" w:hAnsiTheme="majorBidi" w:cstheme="majorBidi"/>
          <w:i/>
          <w:iCs/>
        </w:rPr>
        <w:t>bulgaricus</w:t>
      </w:r>
      <w:r w:rsidRPr="0067253E">
        <w:rPr>
          <w:rFonts w:asciiTheme="majorBidi" w:hAnsiTheme="majorBidi" w:cstheme="majorBidi"/>
        </w:rPr>
        <w:t xml:space="preserve"> </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Pr="0067253E"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Cet effet stimulateur du lactosérum doux représente 12.76 à 19.22% et 8.16 à 9.67% d’amélioration de la biomasse par rapport au témoin de </w:t>
      </w:r>
      <w:r w:rsidRPr="0067253E">
        <w:rPr>
          <w:rFonts w:asciiTheme="majorBidi" w:hAnsiTheme="majorBidi" w:cstheme="majorBidi"/>
          <w:i/>
          <w:iCs/>
        </w:rPr>
        <w:t>Streptococcus thermophilus</w:t>
      </w:r>
      <w:r w:rsidRPr="0067253E">
        <w:rPr>
          <w:rFonts w:asciiTheme="majorBidi" w:hAnsiTheme="majorBidi" w:cstheme="majorBidi"/>
        </w:rPr>
        <w:t xml:space="preserve"> et </w:t>
      </w:r>
      <w:r w:rsidRPr="0067253E">
        <w:rPr>
          <w:rFonts w:asciiTheme="majorBidi" w:hAnsiTheme="majorBidi" w:cstheme="majorBidi"/>
          <w:i/>
          <w:iCs/>
        </w:rPr>
        <w:t>Lactobacillus delbruekii</w:t>
      </w:r>
      <w:r w:rsidRPr="0067253E">
        <w:rPr>
          <w:rFonts w:asciiTheme="majorBidi" w:hAnsiTheme="majorBidi" w:cstheme="majorBidi"/>
        </w:rPr>
        <w:t xml:space="preserve"> ssp </w:t>
      </w:r>
      <w:r w:rsidRPr="0067253E">
        <w:rPr>
          <w:rFonts w:asciiTheme="majorBidi" w:hAnsiTheme="majorBidi" w:cstheme="majorBidi"/>
          <w:i/>
          <w:iCs/>
        </w:rPr>
        <w:t>bulgaricus</w:t>
      </w:r>
      <w:r w:rsidRPr="0067253E">
        <w:rPr>
          <w:rFonts w:asciiTheme="majorBidi" w:hAnsiTheme="majorBidi" w:cstheme="majorBidi"/>
        </w:rPr>
        <w:t>, respectivement.</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Pr="0067253E"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Dans une étude analogue, </w:t>
      </w:r>
      <w:r w:rsidRPr="0067253E">
        <w:rPr>
          <w:rFonts w:asciiTheme="majorBidi" w:hAnsiTheme="majorBidi" w:cstheme="majorBidi"/>
          <w:color w:val="0000FF"/>
        </w:rPr>
        <w:t>(Dave et Shah 1998)</w:t>
      </w:r>
      <w:r w:rsidRPr="0067253E">
        <w:rPr>
          <w:rFonts w:asciiTheme="majorBidi" w:hAnsiTheme="majorBidi" w:cstheme="majorBidi"/>
        </w:rPr>
        <w:t xml:space="preserve"> avaient montré que la présence de lactosérum entier dans le milieu de culture améliorait la biomasse streptococcique de 6.33% par rapport au témoin. En revanche ces auteurs avaient constaté une régression de 2.53 et de 23.41% de la biomasse de </w:t>
      </w:r>
      <w:r w:rsidRPr="0067253E">
        <w:rPr>
          <w:rFonts w:asciiTheme="majorBidi" w:hAnsiTheme="majorBidi" w:cstheme="majorBidi"/>
          <w:i/>
          <w:iCs/>
        </w:rPr>
        <w:t>Lactobacillus acidophilus</w:t>
      </w:r>
      <w:r w:rsidRPr="0067253E">
        <w:rPr>
          <w:rFonts w:asciiTheme="majorBidi" w:hAnsiTheme="majorBidi" w:cstheme="majorBidi"/>
        </w:rPr>
        <w:t xml:space="preserve"> et de </w:t>
      </w:r>
      <w:r w:rsidRPr="0067253E">
        <w:rPr>
          <w:rFonts w:asciiTheme="majorBidi" w:hAnsiTheme="majorBidi" w:cstheme="majorBidi"/>
          <w:i/>
          <w:iCs/>
        </w:rPr>
        <w:t>Biofidobactérium</w:t>
      </w:r>
      <w:r w:rsidRPr="0067253E">
        <w:rPr>
          <w:rFonts w:asciiTheme="majorBidi" w:hAnsiTheme="majorBidi" w:cstheme="majorBidi"/>
        </w:rPr>
        <w:t xml:space="preserve"> sp.</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Pr="0067253E"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En ce qui concerne l’effet de l’ingrédient Promilk 852A2 sur la biomasse accumulée en fin de fermentation nous n’avons pas observé de différence significative (P&gt;0.05) avec le témoin, et les valeurs enregistrées sont inférieurs à celles obtenues avec le lactosérum doux. La biomasse des souches bénéfiques s’est améliorée de 1.55 à 1.65% par rapport au témoin sur l’effet de Promilk 852A2.</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Pr="0067253E"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Cette biomasse résulte de vitesses spécifiques maximales et de temps de génération variables selon la souche bénéfique considérée de 0.75 à 1.23h</w:t>
      </w:r>
      <w:r w:rsidRPr="0067253E">
        <w:rPr>
          <w:rFonts w:asciiTheme="majorBidi" w:hAnsiTheme="majorBidi" w:cstheme="majorBidi"/>
          <w:vertAlign w:val="superscript"/>
        </w:rPr>
        <w:t>-1</w:t>
      </w:r>
      <w:r w:rsidRPr="0067253E">
        <w:rPr>
          <w:rFonts w:asciiTheme="majorBidi" w:hAnsiTheme="majorBidi" w:cstheme="majorBidi"/>
        </w:rPr>
        <w:t xml:space="preserve"> (soit 36.36 à 46.42% d’augmentation par rapport au témoin), et de 0.56 à 0.91h (soit 26.61 à 28.20% de diminution par rapport au témoin).</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Pr="0067253E"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Sur l’effet de Promilk 852A2, la masse Streptococcique et Lactobacille varie respectivement de 0.21 à 0.83 et de 0.19 à 0.45 unités logarithmiques par rapport au témoin selon la souche bénéfique associée.</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Pr="0067253E"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Ces résultats laissent apparaitre sur l’ingrédient Promilk 852A2 a été le moins efficace dans la stimulation de la croissance à la fin des ferments lactiques et des souches bénéfiques et ceci par rapport aux autres ingrédients testés.</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Pr="0067253E"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lastRenderedPageBreak/>
        <w:t>En revanche, les résultats obtenus avec l’autre variété de Promilk (i.e. Promilk C502) sont comparables, sur le plan de l’effet sur la croissance de toutes les souches, à ceux enregistrés avec le lactosérum doux. En effet, la biomasse des souches bénéfiques accumulée à la coagulation du lait varie de 9.62 à 10.14 logUFC/ml selon la souche correspondant à des vitesses spécifiques maximales (µ) et des temps de génération (Tg) variables de 1.28 à 1.89h</w:t>
      </w:r>
      <w:r w:rsidRPr="0067253E">
        <w:rPr>
          <w:rFonts w:asciiTheme="majorBidi" w:hAnsiTheme="majorBidi" w:cstheme="majorBidi"/>
          <w:vertAlign w:val="superscript"/>
        </w:rPr>
        <w:t>-1</w:t>
      </w:r>
      <w:r w:rsidRPr="0067253E">
        <w:rPr>
          <w:rFonts w:asciiTheme="majorBidi" w:hAnsiTheme="majorBidi" w:cstheme="majorBidi"/>
        </w:rPr>
        <w:t xml:space="preserve"> et de 0.35 à 0.53h respectivement. Ainsi, le taux d’amélioration de cette biomasse par rapport au témoin sur l’effet de Promilk C502 se situe entre 4.96 et 6.06% selon la souche bénéfique considérée</w:t>
      </w:r>
      <w:r>
        <w:rPr>
          <w:rFonts w:asciiTheme="majorBidi" w:hAnsiTheme="majorBidi" w:cstheme="majorBidi"/>
        </w:rPr>
        <w:t xml:space="preserve"> </w:t>
      </w:r>
      <w:r w:rsidRPr="00DF5471">
        <w:rPr>
          <w:rFonts w:asciiTheme="majorBidi" w:hAnsiTheme="majorBidi" w:cstheme="majorBidi"/>
          <w:color w:val="0000FF"/>
        </w:rPr>
        <w:t>(tableau 14)</w:t>
      </w:r>
      <w:r w:rsidRPr="0067253E">
        <w:rPr>
          <w:rFonts w:asciiTheme="majorBidi" w:hAnsiTheme="majorBidi" w:cstheme="majorBidi"/>
        </w:rPr>
        <w:t>.</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Pr="0067253E"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En utilisant le même Promilk C502 et le Promilk C500, </w:t>
      </w:r>
      <w:r w:rsidRPr="0067253E">
        <w:rPr>
          <w:rFonts w:asciiTheme="majorBidi" w:hAnsiTheme="majorBidi" w:cstheme="majorBidi"/>
          <w:color w:val="0000FF"/>
        </w:rPr>
        <w:t>Sodini et al. (2002)</w:t>
      </w:r>
      <w:r w:rsidRPr="0067253E">
        <w:rPr>
          <w:rFonts w:asciiTheme="majorBidi" w:hAnsiTheme="majorBidi" w:cstheme="majorBidi"/>
        </w:rPr>
        <w:t xml:space="preserve"> ont rapporté que la biomasse de </w:t>
      </w:r>
      <w:r w:rsidRPr="0067253E">
        <w:rPr>
          <w:rFonts w:asciiTheme="majorBidi" w:hAnsiTheme="majorBidi" w:cstheme="majorBidi"/>
          <w:i/>
          <w:iCs/>
        </w:rPr>
        <w:t>Lactobacillus acidophilus</w:t>
      </w:r>
      <w:r w:rsidRPr="0067253E">
        <w:rPr>
          <w:rFonts w:asciiTheme="majorBidi" w:hAnsiTheme="majorBidi" w:cstheme="majorBidi"/>
        </w:rPr>
        <w:t xml:space="preserve"> LA5 est améiorée de 3.06 et 7%, respectivement par rapport au témoin. Dans ce même ordre, ces auteurs notent que la croissance de </w:t>
      </w:r>
      <w:r w:rsidRPr="0067253E">
        <w:rPr>
          <w:rFonts w:asciiTheme="majorBidi" w:hAnsiTheme="majorBidi" w:cstheme="majorBidi"/>
          <w:i/>
          <w:iCs/>
        </w:rPr>
        <w:t>Lactobacillus rhamnosus</w:t>
      </w:r>
      <w:r w:rsidRPr="0067253E">
        <w:rPr>
          <w:rFonts w:asciiTheme="majorBidi" w:hAnsiTheme="majorBidi" w:cstheme="majorBidi"/>
        </w:rPr>
        <w:t xml:space="preserve"> LR35 se trouve améliorée de 3.12 et 1.33% par rapport au témoin sur l’effet de Promilk C502 et Promilk C500.</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Pr="0067253E"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Promilk C502 stimule plus efficacement la croissance de </w:t>
      </w:r>
      <w:r w:rsidRPr="0067253E">
        <w:rPr>
          <w:rFonts w:asciiTheme="majorBidi" w:hAnsiTheme="majorBidi" w:cstheme="majorBidi"/>
          <w:i/>
          <w:iCs/>
        </w:rPr>
        <w:t>Streptococcus thermophilus</w:t>
      </w:r>
      <w:r w:rsidRPr="0067253E">
        <w:rPr>
          <w:rFonts w:asciiTheme="majorBidi" w:hAnsiTheme="majorBidi" w:cstheme="majorBidi"/>
        </w:rPr>
        <w:t xml:space="preserve"> (1.04 à 17.15% d’augmentation de la biomasse par rapport au témoin selon la souche bénéfique) par rapport à celle de </w:t>
      </w:r>
      <w:r w:rsidRPr="0067253E">
        <w:rPr>
          <w:rFonts w:asciiTheme="majorBidi" w:hAnsiTheme="majorBidi" w:cstheme="majorBidi"/>
          <w:i/>
          <w:iCs/>
        </w:rPr>
        <w:t>Lactobacillus delbruekii</w:t>
      </w:r>
      <w:r w:rsidRPr="0067253E">
        <w:rPr>
          <w:rFonts w:asciiTheme="majorBidi" w:hAnsiTheme="majorBidi" w:cstheme="majorBidi"/>
        </w:rPr>
        <w:t xml:space="preserve"> ssp </w:t>
      </w:r>
      <w:r w:rsidRPr="0067253E">
        <w:rPr>
          <w:rFonts w:asciiTheme="majorBidi" w:hAnsiTheme="majorBidi" w:cstheme="majorBidi"/>
          <w:i/>
          <w:iCs/>
        </w:rPr>
        <w:t>bulgaricus</w:t>
      </w:r>
      <w:r w:rsidRPr="0067253E">
        <w:rPr>
          <w:rFonts w:asciiTheme="majorBidi" w:hAnsiTheme="majorBidi" w:cstheme="majorBidi"/>
        </w:rPr>
        <w:t xml:space="preserve"> (7.39 à 10.29% seulement).</w:t>
      </w: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Avec l’hydrolysat de caséine, la croissance des souches bénéfiques est également améliorée mais reste toujours inférieure à celle constatée avec le lactosérum doux, de l’ordre de 9.47 (µ = 1.18h</w:t>
      </w:r>
      <w:r w:rsidRPr="0067253E">
        <w:rPr>
          <w:rFonts w:asciiTheme="majorBidi" w:hAnsiTheme="majorBidi" w:cstheme="majorBidi"/>
          <w:vertAlign w:val="superscript"/>
        </w:rPr>
        <w:t>-1</w:t>
      </w:r>
      <w:r w:rsidRPr="0067253E">
        <w:rPr>
          <w:rFonts w:asciiTheme="majorBidi" w:hAnsiTheme="majorBidi" w:cstheme="majorBidi"/>
        </w:rPr>
        <w:t>), 9.88 (µ = 1.57h</w:t>
      </w:r>
      <w:r w:rsidRPr="0067253E">
        <w:rPr>
          <w:rFonts w:asciiTheme="majorBidi" w:hAnsiTheme="majorBidi" w:cstheme="majorBidi"/>
          <w:vertAlign w:val="superscript"/>
        </w:rPr>
        <w:t>-1</w:t>
      </w:r>
      <w:r w:rsidRPr="0067253E">
        <w:rPr>
          <w:rFonts w:asciiTheme="majorBidi" w:hAnsiTheme="majorBidi" w:cstheme="majorBidi"/>
        </w:rPr>
        <w:t>), 9.54 (µ = 1.2h</w:t>
      </w:r>
      <w:r w:rsidRPr="0067253E">
        <w:rPr>
          <w:rFonts w:asciiTheme="majorBidi" w:hAnsiTheme="majorBidi" w:cstheme="majorBidi"/>
          <w:vertAlign w:val="superscript"/>
        </w:rPr>
        <w:t>-1</w:t>
      </w:r>
      <w:r w:rsidRPr="0067253E">
        <w:rPr>
          <w:rFonts w:asciiTheme="majorBidi" w:hAnsiTheme="majorBidi" w:cstheme="majorBidi"/>
        </w:rPr>
        <w:t>), 9.93 (µ = 1.76h</w:t>
      </w:r>
      <w:r w:rsidRPr="0067253E">
        <w:rPr>
          <w:rFonts w:asciiTheme="majorBidi" w:hAnsiTheme="majorBidi" w:cstheme="majorBidi"/>
          <w:vertAlign w:val="superscript"/>
        </w:rPr>
        <w:t>-1</w:t>
      </w:r>
      <w:r w:rsidRPr="0067253E">
        <w:rPr>
          <w:rFonts w:asciiTheme="majorBidi" w:hAnsiTheme="majorBidi" w:cstheme="majorBidi"/>
        </w:rPr>
        <w:t>) et 9.4 logUFC/ml (µ = 1.11h-</w:t>
      </w:r>
      <w:r w:rsidRPr="0067253E">
        <w:rPr>
          <w:rFonts w:asciiTheme="majorBidi" w:hAnsiTheme="majorBidi" w:cstheme="majorBidi"/>
          <w:vertAlign w:val="superscript"/>
        </w:rPr>
        <w:t>1</w:t>
      </w:r>
      <w:r w:rsidRPr="0067253E">
        <w:rPr>
          <w:rFonts w:asciiTheme="majorBidi" w:hAnsiTheme="majorBidi" w:cstheme="majorBidi"/>
        </w:rPr>
        <w:t>) avec des temps de génération respectifs de l’ordre de 0.58, 0.43, 0.57 ; 0.38 et 0.61h et des taux d’amélioration de la biomasse de 4.41 ; 2.27 ; 3.02 ; 4.41 et 3.63% respectivement pour les souches bénéfiques BLR, LbRE-LSAS, Bb12, Lba CECT 4529 et Lbp CECT 748.</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Selon </w:t>
      </w:r>
      <w:r w:rsidRPr="0067253E">
        <w:rPr>
          <w:rFonts w:asciiTheme="majorBidi" w:hAnsiTheme="majorBidi" w:cstheme="majorBidi"/>
          <w:color w:val="0000FF"/>
        </w:rPr>
        <w:t>Dave et Shah (1998)</w:t>
      </w:r>
      <w:r w:rsidRPr="0067253E">
        <w:rPr>
          <w:rFonts w:asciiTheme="majorBidi" w:hAnsiTheme="majorBidi" w:cstheme="majorBidi"/>
        </w:rPr>
        <w:t>, l’adjonction de l’hydrolysat de caséine augmente la quantité et la survie de la biomasse des bifidobactéries.</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Les deux bactéries lactiques </w:t>
      </w:r>
      <w:r w:rsidRPr="0067253E">
        <w:rPr>
          <w:rFonts w:asciiTheme="majorBidi" w:hAnsiTheme="majorBidi" w:cstheme="majorBidi"/>
          <w:i/>
          <w:iCs/>
        </w:rPr>
        <w:t>Streptococcus thermophilus</w:t>
      </w:r>
      <w:r w:rsidRPr="0067253E">
        <w:rPr>
          <w:rFonts w:asciiTheme="majorBidi" w:hAnsiTheme="majorBidi" w:cstheme="majorBidi"/>
        </w:rPr>
        <w:t xml:space="preserve"> et </w:t>
      </w:r>
      <w:r w:rsidRPr="0067253E">
        <w:rPr>
          <w:rFonts w:asciiTheme="majorBidi" w:hAnsiTheme="majorBidi" w:cstheme="majorBidi"/>
          <w:i/>
          <w:iCs/>
        </w:rPr>
        <w:t>Lactobacillus bulgaricus</w:t>
      </w:r>
      <w:r w:rsidRPr="0067253E">
        <w:rPr>
          <w:rFonts w:asciiTheme="majorBidi" w:hAnsiTheme="majorBidi" w:cstheme="majorBidi"/>
        </w:rPr>
        <w:t xml:space="preserve"> révèlent une bonne amélioration de la biomasse comprise entre 3.74 à 12.53% et 5.48 à 6.52% respectivement.</w:t>
      </w:r>
    </w:p>
    <w:p w:rsidR="006C66E7" w:rsidRPr="0067253E"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lastRenderedPageBreak/>
        <w:t>Le temps permettant la coagulation du lait par la culture des deux ferments lactiques associant les souches bénéfiques en présence d’hydrolysat de caséine s’est révélé plus court de 1h39 à 1h59 par rapport à celui du témoin.</w:t>
      </w:r>
    </w:p>
    <w:p w:rsidR="006C66E7" w:rsidRDefault="006C66E7" w:rsidP="006C66E7">
      <w:pPr>
        <w:spacing w:before="0" w:after="0" w:line="360" w:lineRule="auto"/>
        <w:ind w:firstLine="360"/>
        <w:contextualSpacing/>
        <w:jc w:val="both"/>
        <w:rPr>
          <w:rFonts w:asciiTheme="majorBidi" w:hAnsiTheme="majorBidi" w:cstheme="majorBidi"/>
          <w:color w:val="4F81BD"/>
        </w:rPr>
      </w:pPr>
      <w:r w:rsidRPr="0067253E">
        <w:rPr>
          <w:rFonts w:asciiTheme="majorBidi" w:hAnsiTheme="majorBidi" w:cstheme="majorBidi"/>
        </w:rPr>
        <w:t xml:space="preserve">En général, les quantités de biomasse de </w:t>
      </w:r>
      <w:r w:rsidRPr="0067253E">
        <w:rPr>
          <w:rFonts w:asciiTheme="majorBidi" w:hAnsiTheme="majorBidi" w:cstheme="majorBidi"/>
          <w:i/>
          <w:iCs/>
        </w:rPr>
        <w:t>Streptococcus thermophilus</w:t>
      </w:r>
      <w:r w:rsidRPr="0067253E">
        <w:rPr>
          <w:rFonts w:asciiTheme="majorBidi" w:hAnsiTheme="majorBidi" w:cstheme="majorBidi"/>
        </w:rPr>
        <w:t xml:space="preserve"> étaient plus élevées que celles de </w:t>
      </w:r>
      <w:r w:rsidRPr="0067253E">
        <w:rPr>
          <w:rFonts w:asciiTheme="majorBidi" w:hAnsiTheme="majorBidi" w:cstheme="majorBidi"/>
          <w:i/>
          <w:iCs/>
        </w:rPr>
        <w:t>Lactobacillus bulgaricus</w:t>
      </w:r>
      <w:r w:rsidRPr="0067253E">
        <w:rPr>
          <w:rFonts w:asciiTheme="majorBidi" w:hAnsiTheme="majorBidi" w:cstheme="majorBidi"/>
        </w:rPr>
        <w:t xml:space="preserve"> dans tous les échantillons. Cette observation a également été rapportée par </w:t>
      </w:r>
      <w:r w:rsidRPr="0067253E">
        <w:rPr>
          <w:rFonts w:asciiTheme="majorBidi" w:hAnsiTheme="majorBidi" w:cstheme="majorBidi"/>
          <w:color w:val="0000FF"/>
        </w:rPr>
        <w:t>Lanciotti et al. (2004)</w:t>
      </w:r>
      <w:r w:rsidRPr="0067253E">
        <w:rPr>
          <w:rFonts w:asciiTheme="majorBidi" w:hAnsiTheme="majorBidi" w:cstheme="majorBidi"/>
          <w:color w:val="4F81BD"/>
        </w:rPr>
        <w:t>.</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Pr="0067253E"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color w:val="0000FF"/>
        </w:rPr>
        <w:t>Dave et Shah (1998)</w:t>
      </w:r>
      <w:r w:rsidRPr="0067253E">
        <w:rPr>
          <w:rFonts w:asciiTheme="majorBidi" w:hAnsiTheme="majorBidi" w:cstheme="majorBidi"/>
        </w:rPr>
        <w:t xml:space="preserve"> ont noté un effet positif de l’addition de concentré de protéines du lactosérum sur la quantité de biomasse streptococcique en présence de bifidobactéries. Cette  biomasse représentait de 8.66 logUFC/ml de lait fermenté pendant 24h.</w:t>
      </w: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Il y a une différence significative (P&lt;0.05) dans le temps de coagulation du lait par rapport au témoin.</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Selon </w:t>
      </w:r>
      <w:r w:rsidRPr="0067253E">
        <w:rPr>
          <w:rFonts w:asciiTheme="majorBidi" w:hAnsiTheme="majorBidi" w:cstheme="majorBidi"/>
          <w:color w:val="0000FF"/>
        </w:rPr>
        <w:t>Ricardo et al. (2009)</w:t>
      </w:r>
      <w:r w:rsidRPr="0067253E">
        <w:rPr>
          <w:rFonts w:asciiTheme="majorBidi" w:hAnsiTheme="majorBidi" w:cstheme="majorBidi"/>
        </w:rPr>
        <w:t>, la quantité de biomasse streptococcique en culture mixte est comprise entre 9.05 à 9.14 logUFC/ml en présence d’inuline.</w:t>
      </w:r>
    </w:p>
    <w:p w:rsidR="006C66E7" w:rsidRPr="0067253E" w:rsidRDefault="006C66E7" w:rsidP="006C66E7">
      <w:pPr>
        <w:spacing w:before="0" w:after="0" w:line="360" w:lineRule="auto"/>
        <w:ind w:firstLine="360"/>
        <w:contextualSpacing/>
        <w:jc w:val="both"/>
        <w:rPr>
          <w:rFonts w:asciiTheme="majorBidi" w:hAnsiTheme="majorBidi" w:cstheme="majorBidi"/>
          <w:color w:val="4F81BD"/>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Toutes les cinq souches bénéfiques en cultures mixtes, montrent une bonne capacité de croissance et de symbiose en présence ou en absence d’ingrédients.</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color w:val="0000FF"/>
        </w:rPr>
        <w:t>Ishibashi et Shimamure (1993)</w:t>
      </w:r>
      <w:r w:rsidRPr="0067253E">
        <w:rPr>
          <w:rFonts w:asciiTheme="majorBidi" w:hAnsiTheme="majorBidi" w:cstheme="majorBidi"/>
        </w:rPr>
        <w:t>, confirment que les starters cultures améliorent les conditions de croissance des bifidobactéries par la production des substances favorables à la croissance des probiotiques ou par la réduction de la pression d’oxygène.</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L’introduction d’une coculture entre </w:t>
      </w:r>
      <w:r w:rsidRPr="0067253E">
        <w:rPr>
          <w:rFonts w:asciiTheme="majorBidi" w:hAnsiTheme="majorBidi" w:cstheme="majorBidi"/>
          <w:i/>
          <w:iCs/>
        </w:rPr>
        <w:t>Streptococcus</w:t>
      </w:r>
      <w:r w:rsidRPr="0067253E">
        <w:rPr>
          <w:rFonts w:asciiTheme="majorBidi" w:hAnsiTheme="majorBidi" w:cstheme="majorBidi"/>
        </w:rPr>
        <w:t xml:space="preserve"> </w:t>
      </w:r>
      <w:r w:rsidRPr="0067253E">
        <w:rPr>
          <w:rFonts w:asciiTheme="majorBidi" w:hAnsiTheme="majorBidi" w:cstheme="majorBidi"/>
          <w:i/>
          <w:iCs/>
        </w:rPr>
        <w:t>thermophilus</w:t>
      </w:r>
      <w:r w:rsidRPr="0067253E">
        <w:rPr>
          <w:rFonts w:asciiTheme="majorBidi" w:hAnsiTheme="majorBidi" w:cstheme="majorBidi"/>
        </w:rPr>
        <w:t xml:space="preserve"> et des bifidobactéries permet à ces dernières de tolérer les effets toxiques de l’oxygène, tout en améliorant leur taux de croissance </w:t>
      </w:r>
      <w:r w:rsidRPr="0067253E">
        <w:rPr>
          <w:rFonts w:asciiTheme="majorBidi" w:hAnsiTheme="majorBidi" w:cstheme="majorBidi"/>
          <w:color w:val="0000FF"/>
        </w:rPr>
        <w:t>(Tamime et al., 1995)</w:t>
      </w:r>
      <w:r w:rsidRPr="0067253E">
        <w:rPr>
          <w:rFonts w:asciiTheme="majorBidi" w:hAnsiTheme="majorBidi" w:cstheme="majorBidi"/>
        </w:rPr>
        <w:t>.</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Selon </w:t>
      </w:r>
      <w:r w:rsidRPr="0067253E">
        <w:rPr>
          <w:rFonts w:asciiTheme="majorBidi" w:hAnsiTheme="majorBidi" w:cstheme="majorBidi"/>
          <w:color w:val="0000FF"/>
        </w:rPr>
        <w:t>Sodini et al. (2002)</w:t>
      </w:r>
      <w:r w:rsidRPr="0067253E">
        <w:rPr>
          <w:rFonts w:asciiTheme="majorBidi" w:hAnsiTheme="majorBidi" w:cstheme="majorBidi"/>
        </w:rPr>
        <w:t xml:space="preserve">, la croissance de </w:t>
      </w:r>
      <w:r w:rsidRPr="0067253E">
        <w:rPr>
          <w:rFonts w:asciiTheme="majorBidi" w:hAnsiTheme="majorBidi" w:cstheme="majorBidi"/>
          <w:i/>
          <w:iCs/>
        </w:rPr>
        <w:t>Lb. acidophilus</w:t>
      </w:r>
      <w:r w:rsidRPr="0067253E">
        <w:rPr>
          <w:rFonts w:asciiTheme="majorBidi" w:hAnsiTheme="majorBidi" w:cstheme="majorBidi"/>
        </w:rPr>
        <w:t xml:space="preserve"> et </w:t>
      </w:r>
      <w:r w:rsidRPr="0067253E">
        <w:rPr>
          <w:rFonts w:asciiTheme="majorBidi" w:hAnsiTheme="majorBidi" w:cstheme="majorBidi"/>
          <w:i/>
          <w:iCs/>
        </w:rPr>
        <w:t>Lb. rhamnosus</w:t>
      </w:r>
      <w:r w:rsidRPr="0067253E">
        <w:rPr>
          <w:rFonts w:asciiTheme="majorBidi" w:hAnsiTheme="majorBidi" w:cstheme="majorBidi"/>
        </w:rPr>
        <w:t xml:space="preserve"> pendant la fermentation était entre 2 à 4 unités logarithmiques. Ce qui confirme les résultats de </w:t>
      </w:r>
      <w:r w:rsidRPr="0067253E">
        <w:rPr>
          <w:rFonts w:asciiTheme="majorBidi" w:hAnsiTheme="majorBidi" w:cstheme="majorBidi"/>
          <w:color w:val="0000FF"/>
        </w:rPr>
        <w:t>Dave et Shah (1997)</w:t>
      </w:r>
      <w:r w:rsidRPr="0067253E">
        <w:rPr>
          <w:rFonts w:asciiTheme="majorBidi" w:hAnsiTheme="majorBidi" w:cstheme="majorBidi"/>
        </w:rPr>
        <w:t xml:space="preserve"> et de </w:t>
      </w:r>
      <w:r w:rsidRPr="0067253E">
        <w:rPr>
          <w:rFonts w:asciiTheme="majorBidi" w:hAnsiTheme="majorBidi" w:cstheme="majorBidi"/>
          <w:color w:val="0000FF"/>
        </w:rPr>
        <w:t>Shah et Ravula (2000)</w:t>
      </w:r>
      <w:r w:rsidRPr="0067253E">
        <w:rPr>
          <w:rFonts w:asciiTheme="majorBidi" w:hAnsiTheme="majorBidi" w:cstheme="majorBidi"/>
        </w:rPr>
        <w:t>,  qui ont estimé cette croissance entre 1 et 3 unités logarithmiques.</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lastRenderedPageBreak/>
        <w:t xml:space="preserve">Lactobacillus bulgaricus améliore la croissance des bifidobactéries par son activité protéolytique qui induit une augmentation de l’utilisation de certains acides aminés comme la valine, glycine et l’histidine </w:t>
      </w:r>
      <w:r w:rsidRPr="0067253E">
        <w:rPr>
          <w:rFonts w:asciiTheme="majorBidi" w:hAnsiTheme="majorBidi" w:cstheme="majorBidi"/>
          <w:color w:val="0000FF"/>
        </w:rPr>
        <w:t>(Misra et Kulia, 1995)</w:t>
      </w:r>
      <w:r w:rsidRPr="0067253E">
        <w:rPr>
          <w:rFonts w:asciiTheme="majorBidi" w:hAnsiTheme="majorBidi" w:cstheme="majorBidi"/>
        </w:rPr>
        <w:t>.</w:t>
      </w:r>
    </w:p>
    <w:p w:rsidR="005D3B01" w:rsidRPr="0067253E" w:rsidRDefault="005D3B01"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En revanche, l’addition des ingrédients protéiques laitiers en culture mixte avec les deux ferments lactiques et les souches bénéfiques montre une fiabilité exceptionnelle en comparaison avec le témoin vis-à-vis du temps de coagulation et de la biomasse produite.</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Selon </w:t>
      </w:r>
      <w:r w:rsidRPr="0067253E">
        <w:rPr>
          <w:rFonts w:asciiTheme="majorBidi" w:hAnsiTheme="majorBidi" w:cstheme="majorBidi"/>
          <w:color w:val="0000FF"/>
        </w:rPr>
        <w:t>Samona et al. (1996)</w:t>
      </w:r>
      <w:r w:rsidRPr="0067253E">
        <w:rPr>
          <w:rFonts w:asciiTheme="majorBidi" w:hAnsiTheme="majorBidi" w:cstheme="majorBidi"/>
        </w:rPr>
        <w:t>, les bactéries lactiques améliorent la croissance des bifidobactéries (</w:t>
      </w:r>
      <w:r w:rsidRPr="0067253E">
        <w:rPr>
          <w:rFonts w:asciiTheme="majorBidi" w:hAnsiTheme="majorBidi" w:cstheme="majorBidi"/>
          <w:i/>
          <w:iCs/>
        </w:rPr>
        <w:t>Bifidobacterium</w:t>
      </w:r>
      <w:r w:rsidRPr="0067253E">
        <w:rPr>
          <w:rFonts w:asciiTheme="majorBidi" w:hAnsiTheme="majorBidi" w:cstheme="majorBidi"/>
        </w:rPr>
        <w:t xml:space="preserve"> </w:t>
      </w:r>
      <w:r w:rsidRPr="0067253E">
        <w:rPr>
          <w:rFonts w:asciiTheme="majorBidi" w:hAnsiTheme="majorBidi" w:cstheme="majorBidi"/>
          <w:i/>
          <w:iCs/>
        </w:rPr>
        <w:t>longum</w:t>
      </w:r>
      <w:r w:rsidRPr="0067253E">
        <w:rPr>
          <w:rFonts w:asciiTheme="majorBidi" w:hAnsiTheme="majorBidi" w:cstheme="majorBidi"/>
        </w:rPr>
        <w:t xml:space="preserve"> et </w:t>
      </w:r>
      <w:r w:rsidRPr="0067253E">
        <w:rPr>
          <w:rFonts w:asciiTheme="majorBidi" w:hAnsiTheme="majorBidi" w:cstheme="majorBidi"/>
          <w:i/>
          <w:iCs/>
        </w:rPr>
        <w:t>Bifidobacterium</w:t>
      </w:r>
      <w:r w:rsidRPr="0067253E">
        <w:rPr>
          <w:rFonts w:asciiTheme="majorBidi" w:hAnsiTheme="majorBidi" w:cstheme="majorBidi"/>
        </w:rPr>
        <w:t xml:space="preserve"> </w:t>
      </w:r>
      <w:r w:rsidRPr="0067253E">
        <w:rPr>
          <w:rFonts w:asciiTheme="majorBidi" w:hAnsiTheme="majorBidi" w:cstheme="majorBidi"/>
          <w:i/>
          <w:iCs/>
        </w:rPr>
        <w:t>bifidum</w:t>
      </w:r>
      <w:r w:rsidRPr="0067253E">
        <w:rPr>
          <w:rFonts w:asciiTheme="majorBidi" w:hAnsiTheme="majorBidi" w:cstheme="majorBidi"/>
        </w:rPr>
        <w:t>) dans le lait.</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Pr="0067253E"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Les bifidobactéries sont cultivées en association avec les ferments lactiques afin que leur croissance soit améliorée et que le temps de coagulation du lait soit réduit </w:t>
      </w:r>
      <w:r w:rsidRPr="0067253E">
        <w:rPr>
          <w:rFonts w:asciiTheme="majorBidi" w:hAnsiTheme="majorBidi" w:cstheme="majorBidi"/>
          <w:color w:val="0000FF"/>
        </w:rPr>
        <w:t>(Lim et al., 1995, Payne et al., 1999)</w:t>
      </w:r>
      <w:r w:rsidRPr="0067253E">
        <w:rPr>
          <w:rFonts w:asciiTheme="majorBidi" w:hAnsiTheme="majorBidi" w:cstheme="majorBidi"/>
        </w:rPr>
        <w:t>.</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Pr="0067253E" w:rsidRDefault="006C66E7" w:rsidP="006C66E7">
      <w:pPr>
        <w:spacing w:before="0" w:after="0" w:line="360" w:lineRule="auto"/>
        <w:ind w:firstLine="360"/>
        <w:contextualSpacing/>
        <w:jc w:val="both"/>
        <w:rPr>
          <w:rFonts w:asciiTheme="majorBidi" w:hAnsiTheme="majorBidi" w:cstheme="majorBidi"/>
          <w:b/>
          <w:bCs/>
        </w:rPr>
      </w:pPr>
      <w:r w:rsidRPr="0067253E">
        <w:rPr>
          <w:rFonts w:asciiTheme="majorBidi" w:hAnsiTheme="majorBidi" w:cstheme="majorBidi"/>
          <w:b/>
          <w:bCs/>
        </w:rPr>
        <w:t xml:space="preserve"> I.2. Cinétique d’acidification</w:t>
      </w:r>
      <w:r>
        <w:rPr>
          <w:rFonts w:asciiTheme="majorBidi" w:hAnsiTheme="majorBidi" w:cstheme="majorBidi"/>
          <w:b/>
          <w:bCs/>
        </w:rPr>
        <w:t>.</w:t>
      </w:r>
    </w:p>
    <w:p w:rsidR="006C66E7" w:rsidRPr="0067253E" w:rsidRDefault="006C66E7" w:rsidP="006C66E7">
      <w:pPr>
        <w:spacing w:before="0" w:after="0" w:line="360" w:lineRule="auto"/>
        <w:ind w:firstLine="360"/>
        <w:contextualSpacing/>
        <w:jc w:val="both"/>
        <w:rPr>
          <w:rFonts w:asciiTheme="majorBidi" w:hAnsiTheme="majorBidi" w:cstheme="majorBidi"/>
          <w:b/>
          <w:bCs/>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Toutes les cultures ou fermentations sont stoppées volontairement à un pH voisin de 5 par refroidissement rapide du lait fermenté.</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Dans la pratique, ce pH, qui coïncide avec le début de la coagulation du lait, oscille entre 4.84 et 4.99 selon l’échantillon</w:t>
      </w:r>
      <w:r>
        <w:rPr>
          <w:rFonts w:asciiTheme="majorBidi" w:hAnsiTheme="majorBidi" w:cstheme="majorBidi"/>
        </w:rPr>
        <w:t xml:space="preserve"> </w:t>
      </w:r>
      <w:r w:rsidRPr="002C5418">
        <w:rPr>
          <w:rFonts w:asciiTheme="majorBidi" w:hAnsiTheme="majorBidi" w:cstheme="majorBidi"/>
          <w:color w:val="3333FF"/>
        </w:rPr>
        <w:t>(figure 8)</w:t>
      </w:r>
      <w:r w:rsidRPr="0067253E">
        <w:rPr>
          <w:rFonts w:asciiTheme="majorBidi" w:hAnsiTheme="majorBidi" w:cstheme="majorBidi"/>
        </w:rPr>
        <w:t>.</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Au démarrage (à 0 h), le pH de tous les échantillons (y compris le témoin) est voisin de 6.6 sauf pour l’ingrédient lactosérum doux  où il est égal à 6.2.</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Il n’y avait aucune différence significative (P&lt;0.05) dans les valeurs de pH des essais de fermentation associant une souche bénéfique.</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En absence d’ingrédients protéiques laitiers, la vitesse spécifique maximale d’acidification des cultures mixtes entre une souche bénéfique et les deux bactéries lactiques est comprise entre 0.24 à 0.27 h</w:t>
      </w:r>
      <w:r w:rsidRPr="0067253E">
        <w:rPr>
          <w:rFonts w:asciiTheme="majorBidi" w:hAnsiTheme="majorBidi" w:cstheme="majorBidi"/>
          <w:vertAlign w:val="superscript"/>
        </w:rPr>
        <w:t>-1</w:t>
      </w:r>
      <w:r w:rsidRPr="0067253E">
        <w:rPr>
          <w:rFonts w:asciiTheme="majorBidi" w:hAnsiTheme="majorBidi" w:cstheme="majorBidi"/>
        </w:rPr>
        <w:t xml:space="preserve"> avec un temps de fermentation qui varie entre 6h13 à 6h52.</w:t>
      </w:r>
    </w:p>
    <w:p w:rsidR="006C66E7" w:rsidRPr="0067253E" w:rsidRDefault="006F133D" w:rsidP="006C66E7">
      <w:pPr>
        <w:spacing w:before="0" w:after="0" w:line="360" w:lineRule="auto"/>
        <w:ind w:firstLine="360"/>
        <w:contextualSpacing/>
        <w:jc w:val="both"/>
        <w:rPr>
          <w:rFonts w:asciiTheme="majorBidi" w:hAnsiTheme="majorBidi" w:cstheme="majorBidi"/>
        </w:rPr>
      </w:pPr>
      <w:r>
        <w:rPr>
          <w:rFonts w:asciiTheme="majorBidi" w:hAnsiTheme="majorBidi" w:cstheme="majorBidi"/>
          <w:noProof/>
          <w:lang w:eastAsia="fr-FR"/>
        </w:rPr>
        <w:lastRenderedPageBreak/>
        <w:pict>
          <v:shape id="_x0000_s2092" type="#_x0000_t202" style="position:absolute;left:0;text-align:left;margin-left:3.6pt;margin-top:-2.9pt;width:434.25pt;height:683.25pt;z-index:251703296">
            <v:textbox>
              <w:txbxContent>
                <w:p w:rsidR="00310CA5" w:rsidRDefault="00310CA5" w:rsidP="006C66E7">
                  <w:pPr>
                    <w:ind w:firstLine="0"/>
                  </w:pPr>
                </w:p>
              </w:txbxContent>
            </v:textbox>
          </v:shape>
        </w:pict>
      </w:r>
    </w:p>
    <w:p w:rsidR="006C66E7" w:rsidRDefault="006F133D" w:rsidP="006C66E7">
      <w:pPr>
        <w:spacing w:before="0" w:after="0" w:line="276" w:lineRule="auto"/>
        <w:ind w:firstLine="0"/>
        <w:rPr>
          <w:rFonts w:asciiTheme="majorBidi" w:hAnsiTheme="majorBidi" w:cstheme="majorBidi"/>
        </w:rPr>
      </w:pPr>
      <w:r>
        <w:rPr>
          <w:rFonts w:asciiTheme="majorBidi" w:hAnsiTheme="majorBidi" w:cstheme="majorBidi"/>
          <w:noProof/>
          <w:lang w:eastAsia="fr-FR"/>
        </w:rPr>
        <w:pict>
          <v:shape id="_x0000_s2098" type="#_x0000_t202" style="position:absolute;margin-left:11.85pt;margin-top:533.35pt;width:414pt;height:121.5pt;z-index:251709440" strokecolor="white [3212]">
            <v:textbox>
              <w:txbxContent>
                <w:p w:rsidR="00310CA5" w:rsidRDefault="00310CA5" w:rsidP="00310CA5">
                  <w:pPr>
                    <w:ind w:left="851" w:hanging="851"/>
                    <w:jc w:val="both"/>
                  </w:pPr>
                  <w:r w:rsidRPr="00A1575D">
                    <w:rPr>
                      <w:rFonts w:ascii="Times New Roman" w:hAnsi="Times New Roman" w:cs="Times New Roman"/>
                      <w:b/>
                      <w:bCs/>
                      <w:sz w:val="20"/>
                      <w:szCs w:val="20"/>
                      <w:u w:val="single"/>
                    </w:rPr>
                    <w:t>Figure 8</w:t>
                  </w:r>
                  <w:r w:rsidRPr="00B249DE">
                    <w:rPr>
                      <w:rFonts w:ascii="Times New Roman" w:hAnsi="Times New Roman" w:cs="Times New Roman"/>
                      <w:sz w:val="20"/>
                      <w:szCs w:val="20"/>
                    </w:rPr>
                    <w:t xml:space="preserve"> : Cinétique </w:t>
                  </w:r>
                  <w:r w:rsidRPr="00A1575D">
                    <w:rPr>
                      <w:rFonts w:ascii="Times New Roman" w:hAnsi="Times New Roman" w:cs="Times New Roman"/>
                      <w:b/>
                      <w:bCs/>
                      <w:sz w:val="20"/>
                      <w:szCs w:val="20"/>
                    </w:rPr>
                    <w:t>d’acidification</w:t>
                  </w:r>
                  <w:r w:rsidRPr="00B249DE">
                    <w:rPr>
                      <w:rFonts w:ascii="Times New Roman" w:hAnsi="Times New Roman" w:cs="Times New Roman"/>
                      <w:sz w:val="20"/>
                      <w:szCs w:val="20"/>
                    </w:rPr>
                    <w:t xml:space="preserve"> de la culture mixte entre une souche </w:t>
                  </w:r>
                  <w:r>
                    <w:rPr>
                      <w:rFonts w:ascii="Times New Roman" w:hAnsi="Times New Roman" w:cs="Times New Roman"/>
                      <w:sz w:val="20"/>
                      <w:szCs w:val="20"/>
                    </w:rPr>
                    <w:t>bénéfique B</w:t>
                  </w:r>
                  <w:r w:rsidRPr="00B249DE">
                    <w:rPr>
                      <w:rFonts w:ascii="Times New Roman" w:hAnsi="Times New Roman" w:cs="Times New Roman"/>
                      <w:sz w:val="20"/>
                      <w:szCs w:val="20"/>
                    </w:rPr>
                    <w:t>LR </w:t>
                  </w:r>
                  <w:r w:rsidRPr="00B249DE">
                    <w:rPr>
                      <w:rFonts w:ascii="Times New Roman" w:hAnsi="Times New Roman" w:cs="Times New Roman"/>
                      <w:b/>
                      <w:bCs/>
                      <w:sz w:val="20"/>
                      <w:szCs w:val="20"/>
                    </w:rPr>
                    <w:t>(A)</w:t>
                  </w:r>
                  <w:r w:rsidRPr="00B249DE">
                    <w:rPr>
                      <w:rFonts w:ascii="Times New Roman" w:hAnsi="Times New Roman" w:cs="Times New Roman"/>
                      <w:sz w:val="20"/>
                      <w:szCs w:val="20"/>
                    </w:rPr>
                    <w:t>; LbRE</w:t>
                  </w:r>
                  <w:r>
                    <w:rPr>
                      <w:rFonts w:ascii="Times New Roman" w:hAnsi="Times New Roman" w:cs="Times New Roman"/>
                      <w:sz w:val="20"/>
                      <w:szCs w:val="20"/>
                    </w:rPr>
                    <w:t>-</w:t>
                  </w:r>
                  <w:r w:rsidRPr="00B249DE">
                    <w:rPr>
                      <w:rFonts w:ascii="Times New Roman" w:hAnsi="Times New Roman" w:cs="Times New Roman"/>
                      <w:sz w:val="20"/>
                      <w:szCs w:val="20"/>
                    </w:rPr>
                    <w:t xml:space="preserve">LSAS </w:t>
                  </w:r>
                  <w:r w:rsidRPr="00B249DE">
                    <w:rPr>
                      <w:rFonts w:ascii="Times New Roman" w:hAnsi="Times New Roman" w:cs="Times New Roman"/>
                      <w:b/>
                      <w:bCs/>
                      <w:sz w:val="20"/>
                      <w:szCs w:val="20"/>
                    </w:rPr>
                    <w:t>(B)</w:t>
                  </w:r>
                  <w:r w:rsidRPr="00B249DE">
                    <w:rPr>
                      <w:rFonts w:ascii="Times New Roman" w:hAnsi="Times New Roman" w:cs="Times New Roman"/>
                      <w:sz w:val="20"/>
                      <w:szCs w:val="20"/>
                    </w:rPr>
                    <w:t xml:space="preserve">; Bb12 </w:t>
                  </w:r>
                  <w:r w:rsidRPr="00B249DE">
                    <w:rPr>
                      <w:rFonts w:ascii="Times New Roman" w:hAnsi="Times New Roman" w:cs="Times New Roman"/>
                      <w:b/>
                      <w:bCs/>
                      <w:sz w:val="20"/>
                      <w:szCs w:val="20"/>
                    </w:rPr>
                    <w:t>(C)</w:t>
                  </w:r>
                  <w:r w:rsidRPr="00B249DE">
                    <w:rPr>
                      <w:rFonts w:ascii="Times New Roman" w:hAnsi="Times New Roman" w:cs="Times New Roman"/>
                      <w:sz w:val="20"/>
                      <w:szCs w:val="20"/>
                    </w:rPr>
                    <w:t xml:space="preserve">; </w:t>
                  </w:r>
                  <w:r>
                    <w:rPr>
                      <w:rFonts w:ascii="Times New Roman" w:hAnsi="Times New Roman" w:cs="Times New Roman"/>
                      <w:sz w:val="20"/>
                      <w:szCs w:val="20"/>
                    </w:rPr>
                    <w:t xml:space="preserve">Lba </w:t>
                  </w:r>
                  <w:r w:rsidRPr="00B249DE">
                    <w:rPr>
                      <w:rFonts w:ascii="Times New Roman" w:hAnsi="Times New Roman" w:cs="Times New Roman"/>
                      <w:sz w:val="20"/>
                      <w:szCs w:val="20"/>
                    </w:rPr>
                    <w:t xml:space="preserve">CECT4529 </w:t>
                  </w:r>
                  <w:r w:rsidRPr="00B249DE">
                    <w:rPr>
                      <w:rFonts w:ascii="Times New Roman" w:hAnsi="Times New Roman" w:cs="Times New Roman"/>
                      <w:b/>
                      <w:bCs/>
                      <w:sz w:val="20"/>
                      <w:szCs w:val="20"/>
                    </w:rPr>
                    <w:t>(D)</w:t>
                  </w:r>
                  <w:r w:rsidRPr="00B249DE">
                    <w:rPr>
                      <w:rFonts w:ascii="Times New Roman" w:hAnsi="Times New Roman" w:cs="Times New Roman"/>
                      <w:sz w:val="20"/>
                      <w:szCs w:val="20"/>
                    </w:rPr>
                    <w:t xml:space="preserve"> </w:t>
                  </w:r>
                  <w:r>
                    <w:rPr>
                      <w:rFonts w:ascii="Times New Roman" w:hAnsi="Times New Roman" w:cs="Times New Roman"/>
                      <w:sz w:val="20"/>
                      <w:szCs w:val="20"/>
                    </w:rPr>
                    <w:t>ou</w:t>
                  </w:r>
                  <w:r w:rsidRPr="00B249DE">
                    <w:rPr>
                      <w:rFonts w:ascii="Times New Roman" w:hAnsi="Times New Roman" w:cs="Times New Roman"/>
                      <w:sz w:val="20"/>
                      <w:szCs w:val="20"/>
                    </w:rPr>
                    <w:t xml:space="preserve"> </w:t>
                  </w:r>
                  <w:r>
                    <w:rPr>
                      <w:rFonts w:ascii="Times New Roman" w:hAnsi="Times New Roman" w:cs="Times New Roman"/>
                      <w:sz w:val="20"/>
                      <w:szCs w:val="20"/>
                    </w:rPr>
                    <w:t xml:space="preserve">Lbp </w:t>
                  </w:r>
                  <w:r w:rsidRPr="00B249DE">
                    <w:rPr>
                      <w:rFonts w:ascii="Times New Roman" w:hAnsi="Times New Roman" w:cs="Times New Roman"/>
                      <w:sz w:val="20"/>
                      <w:szCs w:val="20"/>
                    </w:rPr>
                    <w:t xml:space="preserve">CECT 748 </w:t>
                  </w:r>
                  <w:r w:rsidRPr="00B249DE">
                    <w:rPr>
                      <w:rFonts w:ascii="Times New Roman" w:hAnsi="Times New Roman" w:cs="Times New Roman"/>
                      <w:b/>
                      <w:bCs/>
                      <w:sz w:val="20"/>
                      <w:szCs w:val="20"/>
                    </w:rPr>
                    <w:t>(E)</w:t>
                  </w:r>
                  <w:r w:rsidRPr="00B249DE">
                    <w:rPr>
                      <w:rFonts w:ascii="Times New Roman" w:hAnsi="Times New Roman" w:cs="Times New Roman"/>
                      <w:sz w:val="20"/>
                      <w:szCs w:val="20"/>
                    </w:rPr>
                    <w:t xml:space="preserve"> avec </w:t>
                  </w:r>
                  <w:r w:rsidRPr="00B249DE">
                    <w:rPr>
                      <w:rFonts w:ascii="Times New Roman" w:hAnsi="Times New Roman" w:cs="Times New Roman"/>
                      <w:i/>
                      <w:iCs/>
                      <w:sz w:val="20"/>
                      <w:szCs w:val="20"/>
                    </w:rPr>
                    <w:t>Streptococcus thermophilus</w:t>
                  </w:r>
                  <w:r w:rsidRPr="00B249DE">
                    <w:rPr>
                      <w:rFonts w:ascii="Times New Roman" w:hAnsi="Times New Roman" w:cs="Times New Roman"/>
                      <w:sz w:val="20"/>
                      <w:szCs w:val="20"/>
                    </w:rPr>
                    <w:t xml:space="preserve"> et </w:t>
                  </w:r>
                  <w:r w:rsidRPr="00B249DE">
                    <w:rPr>
                      <w:rFonts w:ascii="Times New Roman" w:hAnsi="Times New Roman" w:cs="Times New Roman"/>
                      <w:i/>
                      <w:iCs/>
                      <w:sz w:val="20"/>
                      <w:szCs w:val="20"/>
                    </w:rPr>
                    <w:t>Lactobacillus bulgaricus</w:t>
                  </w:r>
                  <w:r w:rsidRPr="00B249DE">
                    <w:rPr>
                      <w:rFonts w:ascii="Times New Roman" w:hAnsi="Times New Roman" w:cs="Times New Roman"/>
                      <w:sz w:val="20"/>
                      <w:szCs w:val="20"/>
                    </w:rPr>
                    <w:t xml:space="preserve"> YF=L812 à 37°C sur milieu lait. </w:t>
                  </w:r>
                  <w:r w:rsidRPr="003468B2">
                    <w:rPr>
                      <w:rFonts w:ascii="Times New Roman" w:hAnsi="Times New Roman" w:cs="Times New Roman"/>
                      <w:sz w:val="20"/>
                      <w:szCs w:val="20"/>
                    </w:rPr>
                    <w:t>Cultures mixtes témoin (</w:t>
                  </w:r>
                  <w:r w:rsidRPr="00C44983">
                    <w:rPr>
                      <w:rFonts w:ascii="Times New Roman" w:hAnsi="Times New Roman" w:cs="Times New Roman"/>
                      <w:noProof/>
                      <w:color w:val="0070C0"/>
                      <w:sz w:val="20"/>
                      <w:szCs w:val="20"/>
                      <w:lang w:eastAsia="fr-FR"/>
                    </w:rPr>
                    <w:t>■</w:t>
                  </w:r>
                  <w:r w:rsidRPr="003468B2">
                    <w:rPr>
                      <w:rFonts w:ascii="Times New Roman" w:hAnsi="Times New Roman" w:cs="Times New Roman"/>
                      <w:sz w:val="20"/>
                      <w:szCs w:val="20"/>
                    </w:rPr>
                    <w:t xml:space="preserve">), cultures mixtes additionnées de 0,53% </w:t>
                  </w:r>
                  <w:r>
                    <w:rPr>
                      <w:rFonts w:ascii="Times New Roman" w:hAnsi="Times New Roman" w:cs="Times New Roman"/>
                      <w:sz w:val="20"/>
                      <w:szCs w:val="20"/>
                    </w:rPr>
                    <w:t xml:space="preserve">(P/V) : </w:t>
                  </w:r>
                  <w:r w:rsidRPr="003468B2">
                    <w:rPr>
                      <w:rFonts w:ascii="Times New Roman" w:hAnsi="Times New Roman" w:cs="Times New Roman"/>
                      <w:sz w:val="20"/>
                      <w:szCs w:val="20"/>
                    </w:rPr>
                    <w:t>de lactosérum doux (</w:t>
                  </w:r>
                  <w:r w:rsidRPr="007A6C8B">
                    <w:rPr>
                      <w:rFonts w:ascii="Times New Roman" w:hAnsi="Times New Roman" w:cs="Times New Roman"/>
                      <w:color w:val="FF9900"/>
                      <w:sz w:val="20"/>
                      <w:szCs w:val="20"/>
                    </w:rPr>
                    <w:t>■</w:t>
                  </w:r>
                  <w:r w:rsidRPr="003468B2">
                    <w:rPr>
                      <w:rFonts w:ascii="Times New Roman" w:hAnsi="Times New Roman" w:cs="Times New Roman"/>
                      <w:sz w:val="20"/>
                      <w:szCs w:val="20"/>
                    </w:rPr>
                    <w:t>), de Promilk 852A2 (</w:t>
                  </w:r>
                  <w:r w:rsidRPr="00C44983">
                    <w:rPr>
                      <w:rFonts w:ascii="Times New Roman" w:hAnsi="Times New Roman" w:cs="Times New Roman"/>
                      <w:color w:val="92D050"/>
                      <w:sz w:val="20"/>
                      <w:szCs w:val="20"/>
                    </w:rPr>
                    <w:t>■</w:t>
                  </w:r>
                  <w:r w:rsidRPr="003468B2">
                    <w:rPr>
                      <w:rFonts w:ascii="Times New Roman" w:hAnsi="Times New Roman" w:cs="Times New Roman"/>
                      <w:sz w:val="20"/>
                      <w:szCs w:val="20"/>
                    </w:rPr>
                    <w:t>),</w:t>
                  </w:r>
                  <w:r>
                    <w:rPr>
                      <w:rFonts w:ascii="Times New Roman" w:hAnsi="Times New Roman" w:cs="Times New Roman"/>
                      <w:sz w:val="20"/>
                      <w:szCs w:val="20"/>
                    </w:rPr>
                    <w:t xml:space="preserve"> </w:t>
                  </w:r>
                  <w:r w:rsidRPr="003468B2">
                    <w:rPr>
                      <w:rFonts w:ascii="Times New Roman" w:hAnsi="Times New Roman" w:cs="Times New Roman"/>
                      <w:sz w:val="20"/>
                      <w:szCs w:val="20"/>
                    </w:rPr>
                    <w:t>de Promilk C502 (</w:t>
                  </w:r>
                  <w:r w:rsidRPr="00C44983">
                    <w:rPr>
                      <w:rFonts w:ascii="Times New Roman" w:hAnsi="Times New Roman" w:cs="Times New Roman"/>
                      <w:color w:val="FF33CC"/>
                      <w:sz w:val="20"/>
                      <w:szCs w:val="20"/>
                    </w:rPr>
                    <w:t>■</w:t>
                  </w:r>
                  <w:r w:rsidRPr="003468B2">
                    <w:rPr>
                      <w:rFonts w:ascii="Times New Roman" w:hAnsi="Times New Roman" w:cs="Times New Roman"/>
                      <w:sz w:val="20"/>
                      <w:szCs w:val="20"/>
                    </w:rPr>
                    <w:t>)</w:t>
                  </w:r>
                  <w:r>
                    <w:rPr>
                      <w:rFonts w:ascii="Times New Roman" w:hAnsi="Times New Roman" w:cs="Times New Roman"/>
                      <w:sz w:val="20"/>
                      <w:szCs w:val="20"/>
                    </w:rPr>
                    <w:t xml:space="preserve"> ou </w:t>
                  </w:r>
                  <w:r w:rsidRPr="003468B2">
                    <w:rPr>
                      <w:rFonts w:ascii="Times New Roman" w:hAnsi="Times New Roman" w:cs="Times New Roman"/>
                      <w:sz w:val="20"/>
                      <w:szCs w:val="20"/>
                    </w:rPr>
                    <w:t>d’hydrolysat de caséine (</w:t>
                  </w:r>
                  <w:r w:rsidRPr="00C44983">
                    <w:rPr>
                      <w:rFonts w:ascii="Times New Roman" w:hAnsi="Times New Roman" w:cs="Times New Roman"/>
                      <w:color w:val="990099"/>
                      <w:sz w:val="20"/>
                      <w:szCs w:val="20"/>
                    </w:rPr>
                    <w:t>■</w:t>
                  </w:r>
                  <w:r>
                    <w:rPr>
                      <w:rFonts w:ascii="Times New Roman" w:hAnsi="Times New Roman" w:cs="Times New Roman"/>
                      <w:sz w:val="20"/>
                      <w:szCs w:val="20"/>
                    </w:rPr>
                    <w:t>)</w:t>
                  </w:r>
                  <w:r w:rsidRPr="00B249DE">
                    <w:rPr>
                      <w:rFonts w:ascii="Times New Roman" w:hAnsi="Times New Roman" w:cs="Times New Roman"/>
                      <w:sz w:val="20"/>
                      <w:szCs w:val="20"/>
                    </w:rPr>
                    <w:t>. Dans toutes les cultures mixtes, l’inoculum est à une concentration finale de 10</w:t>
                  </w:r>
                  <w:r w:rsidRPr="00B249DE">
                    <w:rPr>
                      <w:rFonts w:ascii="Times New Roman" w:hAnsi="Times New Roman" w:cs="Times New Roman"/>
                      <w:sz w:val="20"/>
                      <w:szCs w:val="20"/>
                      <w:vertAlign w:val="superscript"/>
                    </w:rPr>
                    <w:t>6</w:t>
                  </w:r>
                  <w:r w:rsidRPr="00B249DE">
                    <w:rPr>
                      <w:rFonts w:ascii="Times New Roman" w:hAnsi="Times New Roman" w:cs="Times New Roman"/>
                      <w:sz w:val="20"/>
                      <w:szCs w:val="20"/>
                    </w:rPr>
                    <w:t xml:space="preserve"> </w:t>
                  </w:r>
                  <w:r>
                    <w:rPr>
                      <w:rFonts w:ascii="Times New Roman" w:hAnsi="Times New Roman" w:cs="Times New Roman"/>
                      <w:sz w:val="20"/>
                      <w:szCs w:val="20"/>
                    </w:rPr>
                    <w:t>(pour les bactéries lactiques) et</w:t>
                  </w:r>
                  <w:r w:rsidRPr="00B249DE">
                    <w:rPr>
                      <w:rFonts w:ascii="Times New Roman" w:hAnsi="Times New Roman" w:cs="Times New Roman"/>
                      <w:sz w:val="20"/>
                      <w:szCs w:val="20"/>
                    </w:rPr>
                    <w:t>10</w:t>
                  </w:r>
                  <w:r w:rsidRPr="00B249DE">
                    <w:rPr>
                      <w:rFonts w:ascii="Times New Roman" w:hAnsi="Times New Roman" w:cs="Times New Roman"/>
                      <w:sz w:val="20"/>
                      <w:szCs w:val="20"/>
                      <w:vertAlign w:val="superscript"/>
                    </w:rPr>
                    <w:t>7</w:t>
                  </w:r>
                  <w:r w:rsidRPr="00B249DE">
                    <w:rPr>
                      <w:rFonts w:ascii="Times New Roman" w:hAnsi="Times New Roman" w:cs="Times New Roman"/>
                      <w:sz w:val="20"/>
                      <w:szCs w:val="20"/>
                    </w:rPr>
                    <w:t xml:space="preserve"> </w:t>
                  </w:r>
                  <w:r>
                    <w:rPr>
                      <w:rFonts w:ascii="Times New Roman" w:hAnsi="Times New Roman" w:cs="Times New Roman"/>
                      <w:sz w:val="20"/>
                      <w:szCs w:val="20"/>
                    </w:rPr>
                    <w:t xml:space="preserve">(pour les souches probiotiques) </w:t>
                  </w:r>
                  <w:r w:rsidRPr="00B249DE">
                    <w:rPr>
                      <w:rFonts w:ascii="Times New Roman" w:hAnsi="Times New Roman" w:cs="Times New Roman"/>
                      <w:sz w:val="20"/>
                      <w:szCs w:val="20"/>
                    </w:rPr>
                    <w:t>UFC/ml et utilisé à 1% (1 :1). Les valeurs représentent la moyenne (m) de 9 déterminations ±S</w:t>
                  </w:r>
                  <w:r>
                    <w:rPr>
                      <w:rFonts w:ascii="Times New Roman" w:hAnsi="Times New Roman" w:cs="Times New Roman"/>
                      <w:sz w:val="20"/>
                      <w:szCs w:val="20"/>
                    </w:rPr>
                    <w:t>EM</w:t>
                  </w:r>
                  <w:r w:rsidRPr="00B249DE">
                    <w:rPr>
                      <w:rFonts w:ascii="Times New Roman" w:hAnsi="Times New Roman" w:cs="Times New Roman"/>
                      <w:sz w:val="20"/>
                      <w:szCs w:val="20"/>
                    </w:rPr>
                    <w:t xml:space="preserve"> (n</w:t>
                  </w:r>
                  <w:r>
                    <w:rPr>
                      <w:rFonts w:ascii="Times New Roman" w:hAnsi="Times New Roman" w:cs="Times New Roman"/>
                      <w:sz w:val="20"/>
                      <w:szCs w:val="20"/>
                    </w:rPr>
                    <w:t xml:space="preserve"> </w:t>
                  </w:r>
                  <w:r w:rsidRPr="00B249DE">
                    <w:rPr>
                      <w:rFonts w:ascii="Times New Roman" w:hAnsi="Times New Roman" w:cs="Times New Roman"/>
                      <w:sz w:val="20"/>
                      <w:szCs w:val="20"/>
                    </w:rPr>
                    <w:t>=</w:t>
                  </w:r>
                  <w:r>
                    <w:rPr>
                      <w:rFonts w:ascii="Times New Roman" w:hAnsi="Times New Roman" w:cs="Times New Roman"/>
                      <w:sz w:val="20"/>
                      <w:szCs w:val="20"/>
                    </w:rPr>
                    <w:t xml:space="preserve"> </w:t>
                  </w:r>
                  <w:r w:rsidRPr="00B249DE">
                    <w:rPr>
                      <w:rFonts w:ascii="Times New Roman" w:hAnsi="Times New Roman" w:cs="Times New Roman"/>
                      <w:sz w:val="20"/>
                      <w:szCs w:val="20"/>
                    </w:rPr>
                    <w:t>9).T0</w:t>
                  </w:r>
                  <w:r>
                    <w:rPr>
                      <w:rFonts w:ascii="Times New Roman" w:hAnsi="Times New Roman" w:cs="Times New Roman"/>
                      <w:sz w:val="20"/>
                      <w:szCs w:val="20"/>
                    </w:rPr>
                    <w:t xml:space="preserve"> </w:t>
                  </w:r>
                  <w:r w:rsidRPr="00B249DE">
                    <w:rPr>
                      <w:rFonts w:ascii="Times New Roman" w:hAnsi="Times New Roman" w:cs="Times New Roman"/>
                      <w:sz w:val="20"/>
                      <w:szCs w:val="20"/>
                    </w:rPr>
                    <w:t>=</w:t>
                  </w:r>
                  <w:r>
                    <w:rPr>
                      <w:rFonts w:ascii="Times New Roman" w:hAnsi="Times New Roman" w:cs="Times New Roman"/>
                      <w:sz w:val="20"/>
                      <w:szCs w:val="20"/>
                    </w:rPr>
                    <w:t xml:space="preserve"> </w:t>
                  </w:r>
                  <w:r w:rsidRPr="00B249DE">
                    <w:rPr>
                      <w:rFonts w:ascii="Times New Roman" w:hAnsi="Times New Roman" w:cs="Times New Roman"/>
                      <w:sz w:val="20"/>
                      <w:szCs w:val="20"/>
                    </w:rPr>
                    <w:t xml:space="preserve"> 0h ; T1</w:t>
                  </w:r>
                  <w:r>
                    <w:rPr>
                      <w:rFonts w:ascii="Times New Roman" w:hAnsi="Times New Roman" w:cs="Times New Roman"/>
                      <w:sz w:val="20"/>
                      <w:szCs w:val="20"/>
                    </w:rPr>
                    <w:t xml:space="preserve"> </w:t>
                  </w:r>
                  <w:r w:rsidRPr="00B249DE">
                    <w:rPr>
                      <w:rFonts w:ascii="Times New Roman" w:hAnsi="Times New Roman" w:cs="Times New Roman"/>
                      <w:sz w:val="20"/>
                      <w:szCs w:val="20"/>
                    </w:rPr>
                    <w:t>=</w:t>
                  </w:r>
                  <w:r>
                    <w:rPr>
                      <w:rFonts w:ascii="Times New Roman" w:hAnsi="Times New Roman" w:cs="Times New Roman"/>
                      <w:sz w:val="20"/>
                      <w:szCs w:val="20"/>
                    </w:rPr>
                    <w:t xml:space="preserve"> </w:t>
                  </w:r>
                  <w:r w:rsidRPr="00B249DE">
                    <w:rPr>
                      <w:rFonts w:ascii="Times New Roman" w:hAnsi="Times New Roman" w:cs="Times New Roman"/>
                      <w:sz w:val="20"/>
                      <w:szCs w:val="20"/>
                    </w:rPr>
                    <w:t>2h ; T2</w:t>
                  </w:r>
                  <w:r>
                    <w:rPr>
                      <w:rFonts w:ascii="Times New Roman" w:hAnsi="Times New Roman" w:cs="Times New Roman"/>
                      <w:sz w:val="20"/>
                      <w:szCs w:val="20"/>
                    </w:rPr>
                    <w:t xml:space="preserve"> </w:t>
                  </w:r>
                  <w:r w:rsidRPr="00B249DE">
                    <w:rPr>
                      <w:rFonts w:ascii="Times New Roman" w:hAnsi="Times New Roman" w:cs="Times New Roman"/>
                      <w:sz w:val="20"/>
                      <w:szCs w:val="20"/>
                    </w:rPr>
                    <w:t>=</w:t>
                  </w:r>
                  <w:r>
                    <w:rPr>
                      <w:rFonts w:ascii="Times New Roman" w:hAnsi="Times New Roman" w:cs="Times New Roman"/>
                      <w:sz w:val="20"/>
                      <w:szCs w:val="20"/>
                    </w:rPr>
                    <w:t xml:space="preserve"> </w:t>
                  </w:r>
                  <w:r w:rsidRPr="00B249DE">
                    <w:rPr>
                      <w:rFonts w:ascii="Times New Roman" w:hAnsi="Times New Roman" w:cs="Times New Roman"/>
                      <w:sz w:val="20"/>
                      <w:szCs w:val="20"/>
                    </w:rPr>
                    <w:t>4h, T3</w:t>
                  </w:r>
                  <w:r>
                    <w:rPr>
                      <w:rFonts w:ascii="Times New Roman" w:hAnsi="Times New Roman" w:cs="Times New Roman"/>
                      <w:sz w:val="20"/>
                      <w:szCs w:val="20"/>
                    </w:rPr>
                    <w:t xml:space="preserve"> </w:t>
                  </w:r>
                  <w:r w:rsidRPr="00B249DE">
                    <w:rPr>
                      <w:rFonts w:ascii="Times New Roman" w:hAnsi="Times New Roman" w:cs="Times New Roman"/>
                      <w:sz w:val="20"/>
                      <w:szCs w:val="20"/>
                    </w:rPr>
                    <w:t>=</w:t>
                  </w:r>
                  <w:r>
                    <w:rPr>
                      <w:rFonts w:ascii="Times New Roman" w:hAnsi="Times New Roman" w:cs="Times New Roman"/>
                      <w:sz w:val="20"/>
                      <w:szCs w:val="20"/>
                    </w:rPr>
                    <w:t xml:space="preserve"> temps</w:t>
                  </w:r>
                  <w:r w:rsidRPr="00B249DE">
                    <w:rPr>
                      <w:rFonts w:ascii="Times New Roman" w:hAnsi="Times New Roman" w:cs="Times New Roman"/>
                      <w:sz w:val="20"/>
                      <w:szCs w:val="20"/>
                    </w:rPr>
                    <w:t xml:space="preserve"> de coagulation (pH</w:t>
                  </w:r>
                  <w:r>
                    <w:rPr>
                      <w:rFonts w:ascii="Times New Roman" w:hAnsi="Times New Roman" w:cs="Times New Roman"/>
                      <w:sz w:val="20"/>
                      <w:szCs w:val="20"/>
                    </w:rPr>
                    <w:t xml:space="preserve"> </w:t>
                  </w:r>
                  <w:r w:rsidRPr="00B249DE">
                    <w:rPr>
                      <w:rFonts w:ascii="Times New Roman" w:hAnsi="Times New Roman" w:cs="Times New Roman"/>
                      <w:sz w:val="20"/>
                      <w:szCs w:val="20"/>
                    </w:rPr>
                    <w:t>5).</w:t>
                  </w:r>
                </w:p>
              </w:txbxContent>
            </v:textbox>
          </v:shape>
        </w:pict>
      </w:r>
      <w:r>
        <w:rPr>
          <w:rFonts w:asciiTheme="majorBidi" w:hAnsiTheme="majorBidi" w:cstheme="majorBidi"/>
          <w:noProof/>
          <w:lang w:eastAsia="fr-FR"/>
        </w:rPr>
        <w:pict>
          <v:shape id="_x0000_s2097" type="#_x0000_t202" style="position:absolute;margin-left:230.1pt;margin-top:352.6pt;width:195.75pt;height:180.75pt;z-index:251708416" strokecolor="white [3212]">
            <v:textbox>
              <w:txbxContent>
                <w:p w:rsidR="00310CA5" w:rsidRDefault="00310CA5" w:rsidP="006C66E7">
                  <w:pPr>
                    <w:ind w:firstLine="0"/>
                  </w:pPr>
                  <w:r w:rsidRPr="00F474EF">
                    <w:rPr>
                      <w:noProof/>
                      <w:lang w:eastAsia="fr-FR"/>
                    </w:rPr>
                    <w:drawing>
                      <wp:inline distT="0" distB="0" distL="0" distR="0">
                        <wp:extent cx="2266950" cy="2124075"/>
                        <wp:effectExtent l="57150" t="0" r="19050" b="0"/>
                        <wp:docPr id="716" name="Graphique 71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p>
              </w:txbxContent>
            </v:textbox>
          </v:shape>
        </w:pict>
      </w:r>
      <w:r>
        <w:rPr>
          <w:rFonts w:asciiTheme="majorBidi" w:hAnsiTheme="majorBidi" w:cstheme="majorBidi"/>
          <w:noProof/>
          <w:lang w:eastAsia="fr-FR"/>
        </w:rPr>
        <w:pict>
          <v:shape id="_x0000_s2096" type="#_x0000_t202" style="position:absolute;margin-left:11.85pt;margin-top:352.6pt;width:218.25pt;height:180.75pt;z-index:251707392" strokecolor="white [3212]">
            <v:textbox>
              <w:txbxContent>
                <w:p w:rsidR="00310CA5" w:rsidRDefault="00310CA5" w:rsidP="006C66E7">
                  <w:pPr>
                    <w:ind w:firstLine="0"/>
                  </w:pPr>
                  <w:r w:rsidRPr="00F474EF">
                    <w:rPr>
                      <w:noProof/>
                      <w:lang w:eastAsia="fr-FR"/>
                    </w:rPr>
                    <w:drawing>
                      <wp:inline distT="0" distB="0" distL="0" distR="0">
                        <wp:extent cx="2490470" cy="2124075"/>
                        <wp:effectExtent l="0" t="0" r="0" b="0"/>
                        <wp:docPr id="715" name="Graphique 71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txbxContent>
            </v:textbox>
          </v:shape>
        </w:pict>
      </w:r>
      <w:r>
        <w:rPr>
          <w:rFonts w:asciiTheme="majorBidi" w:hAnsiTheme="majorBidi" w:cstheme="majorBidi"/>
          <w:noProof/>
          <w:lang w:eastAsia="fr-FR"/>
        </w:rPr>
        <w:pict>
          <v:shape id="_x0000_s2095" type="#_x0000_t202" style="position:absolute;margin-left:116.85pt;margin-top:174.1pt;width:218.25pt;height:178.5pt;z-index:251706368" strokecolor="white [3212]">
            <v:textbox>
              <w:txbxContent>
                <w:p w:rsidR="00310CA5" w:rsidRDefault="00310CA5" w:rsidP="006C66E7">
                  <w:pPr>
                    <w:ind w:firstLine="0"/>
                  </w:pPr>
                  <w:r w:rsidRPr="00F474EF">
                    <w:rPr>
                      <w:noProof/>
                      <w:lang w:eastAsia="fr-FR"/>
                    </w:rPr>
                    <w:drawing>
                      <wp:inline distT="0" distB="0" distL="0" distR="0">
                        <wp:extent cx="2579370" cy="2117272"/>
                        <wp:effectExtent l="57150" t="19050" r="11430" b="0"/>
                        <wp:docPr id="714" name="Graphique 71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p>
              </w:txbxContent>
            </v:textbox>
          </v:shape>
        </w:pict>
      </w:r>
      <w:r>
        <w:rPr>
          <w:rFonts w:asciiTheme="majorBidi" w:hAnsiTheme="majorBidi" w:cstheme="majorBidi"/>
          <w:noProof/>
          <w:lang w:eastAsia="fr-FR"/>
        </w:rPr>
        <w:pict>
          <v:shape id="_x0000_s2093" type="#_x0000_t202" style="position:absolute;margin-left:7.35pt;margin-top:1.6pt;width:208.5pt;height:180.75pt;z-index:251704320" strokecolor="white [3212]">
            <v:textbox>
              <w:txbxContent>
                <w:p w:rsidR="00310CA5" w:rsidRDefault="00310CA5" w:rsidP="006C66E7">
                  <w:pPr>
                    <w:ind w:firstLine="0"/>
                  </w:pPr>
                  <w:r w:rsidRPr="00F474EF">
                    <w:rPr>
                      <w:noProof/>
                      <w:lang w:eastAsia="fr-FR"/>
                    </w:rPr>
                    <w:drawing>
                      <wp:inline distT="0" distB="0" distL="0" distR="0">
                        <wp:extent cx="2373630" cy="2019300"/>
                        <wp:effectExtent l="38100" t="19050" r="26670" b="0"/>
                        <wp:docPr id="712" name="Graphique 71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inline>
                    </w:drawing>
                  </w:r>
                </w:p>
              </w:txbxContent>
            </v:textbox>
          </v:shape>
        </w:pict>
      </w:r>
      <w:r>
        <w:rPr>
          <w:rFonts w:asciiTheme="majorBidi" w:hAnsiTheme="majorBidi" w:cstheme="majorBidi"/>
          <w:noProof/>
          <w:lang w:eastAsia="fr-FR"/>
        </w:rPr>
        <w:pict>
          <v:shape id="_x0000_s2094" type="#_x0000_t202" style="position:absolute;margin-left:236.85pt;margin-top:1.6pt;width:195.75pt;height:180.75pt;z-index:251705344" strokecolor="white [3212]">
            <v:textbox>
              <w:txbxContent>
                <w:p w:rsidR="00310CA5" w:rsidRDefault="00310CA5" w:rsidP="006C66E7">
                  <w:pPr>
                    <w:ind w:firstLine="0"/>
                  </w:pPr>
                  <w:r w:rsidRPr="00F474EF">
                    <w:rPr>
                      <w:noProof/>
                      <w:lang w:eastAsia="fr-FR"/>
                    </w:rPr>
                    <w:drawing>
                      <wp:inline distT="0" distB="0" distL="0" distR="0">
                        <wp:extent cx="2259965" cy="2066925"/>
                        <wp:effectExtent l="38100" t="19050" r="26035" b="0"/>
                        <wp:docPr id="713" name="Graphique 71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txbxContent>
            </v:textbox>
          </v:shape>
        </w:pict>
      </w:r>
      <w:r w:rsidR="006C66E7">
        <w:rPr>
          <w:rFonts w:asciiTheme="majorBidi" w:hAnsiTheme="majorBidi" w:cstheme="majorBidi"/>
        </w:rPr>
        <w:br w:type="page"/>
      </w:r>
    </w:p>
    <w:p w:rsidR="006C66E7" w:rsidRPr="0067253E"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lastRenderedPageBreak/>
        <w:t>En présence des quatre ingrédients protéiques laitiers (lactosérum doux, Promilk 852A2, hydrolysat de caséine et Promilk C502), la vitesse spécifique maximale d’acidification varie  entre 0.3 à 0.35 h</w:t>
      </w:r>
      <w:r w:rsidRPr="0067253E">
        <w:rPr>
          <w:rFonts w:asciiTheme="majorBidi" w:hAnsiTheme="majorBidi" w:cstheme="majorBidi"/>
          <w:vertAlign w:val="superscript"/>
        </w:rPr>
        <w:t>-1</w:t>
      </w:r>
      <w:r w:rsidRPr="0067253E">
        <w:rPr>
          <w:rFonts w:asciiTheme="majorBidi" w:hAnsiTheme="majorBidi" w:cstheme="majorBidi"/>
        </w:rPr>
        <w:t>; 0.29 à 0.38 h</w:t>
      </w:r>
      <w:r w:rsidRPr="0067253E">
        <w:rPr>
          <w:rFonts w:asciiTheme="majorBidi" w:hAnsiTheme="majorBidi" w:cstheme="majorBidi"/>
          <w:vertAlign w:val="superscript"/>
        </w:rPr>
        <w:t>-1</w:t>
      </w:r>
      <w:r w:rsidRPr="0067253E">
        <w:rPr>
          <w:rFonts w:asciiTheme="majorBidi" w:hAnsiTheme="majorBidi" w:cstheme="majorBidi"/>
        </w:rPr>
        <w:t>; 0.28 à 0.37 h</w:t>
      </w:r>
      <w:r w:rsidRPr="0067253E">
        <w:rPr>
          <w:rFonts w:asciiTheme="majorBidi" w:hAnsiTheme="majorBidi" w:cstheme="majorBidi"/>
          <w:vertAlign w:val="superscript"/>
        </w:rPr>
        <w:t>-1</w:t>
      </w:r>
      <w:r w:rsidRPr="0067253E">
        <w:rPr>
          <w:rFonts w:asciiTheme="majorBidi" w:hAnsiTheme="majorBidi" w:cstheme="majorBidi"/>
        </w:rPr>
        <w:t>; 0.3 à 0.39 h</w:t>
      </w:r>
      <w:r w:rsidRPr="0067253E">
        <w:rPr>
          <w:rFonts w:asciiTheme="majorBidi" w:hAnsiTheme="majorBidi" w:cstheme="majorBidi"/>
          <w:vertAlign w:val="superscript"/>
        </w:rPr>
        <w:t xml:space="preserve">-1 </w:t>
      </w:r>
      <w:r w:rsidRPr="0067253E">
        <w:rPr>
          <w:rFonts w:asciiTheme="majorBidi" w:hAnsiTheme="majorBidi" w:cstheme="majorBidi"/>
        </w:rPr>
        <w:t>et 0.29 à 0.37 h</w:t>
      </w:r>
      <w:r w:rsidRPr="0067253E">
        <w:rPr>
          <w:rFonts w:asciiTheme="majorBidi" w:hAnsiTheme="majorBidi" w:cstheme="majorBidi"/>
          <w:vertAlign w:val="superscript"/>
        </w:rPr>
        <w:t>-1</w:t>
      </w:r>
      <w:r w:rsidRPr="0067253E">
        <w:rPr>
          <w:rFonts w:asciiTheme="majorBidi" w:hAnsiTheme="majorBidi" w:cstheme="majorBidi"/>
        </w:rPr>
        <w:t xml:space="preserve"> notée respectivement pour les souches probiotiques BLR, LbRE-LSAS, Bb12, Lba CECT4529 et Lbp CECT748 </w:t>
      </w:r>
      <w:r w:rsidRPr="0067253E">
        <w:rPr>
          <w:rFonts w:asciiTheme="majorBidi" w:hAnsiTheme="majorBidi" w:cstheme="majorBidi"/>
          <w:color w:val="0000FF"/>
        </w:rPr>
        <w:t xml:space="preserve">(tableau </w:t>
      </w:r>
      <w:r>
        <w:rPr>
          <w:rFonts w:asciiTheme="majorBidi" w:hAnsiTheme="majorBidi" w:cstheme="majorBidi"/>
          <w:color w:val="0000FF"/>
        </w:rPr>
        <w:t>15</w:t>
      </w:r>
      <w:r w:rsidRPr="0067253E">
        <w:rPr>
          <w:rFonts w:asciiTheme="majorBidi" w:hAnsiTheme="majorBidi" w:cstheme="majorBidi"/>
          <w:color w:val="0000FF"/>
        </w:rPr>
        <w:t>)</w:t>
      </w:r>
      <w:r w:rsidRPr="0067253E">
        <w:rPr>
          <w:rFonts w:asciiTheme="majorBidi" w:hAnsiTheme="majorBidi" w:cstheme="majorBidi"/>
        </w:rPr>
        <w:t>.</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Pr="0067253E" w:rsidRDefault="006C66E7" w:rsidP="002203B9">
      <w:pPr>
        <w:spacing w:before="0" w:after="0" w:line="360" w:lineRule="auto"/>
        <w:ind w:left="993" w:hanging="567"/>
        <w:contextualSpacing/>
        <w:jc w:val="both"/>
        <w:rPr>
          <w:rFonts w:asciiTheme="majorBidi" w:hAnsiTheme="majorBidi" w:cstheme="majorBidi"/>
          <w:b/>
          <w:bCs/>
        </w:rPr>
      </w:pPr>
      <w:r w:rsidRPr="0067253E">
        <w:rPr>
          <w:rFonts w:asciiTheme="majorBidi" w:hAnsiTheme="majorBidi" w:cstheme="majorBidi"/>
          <w:b/>
          <w:bCs/>
        </w:rPr>
        <w:t>V.2. Effets des divers ingrédients protéiques sur la survie des ferments lactiques et des souches bénéfiques dans le lait fermenté à +4°C pendant 28</w:t>
      </w:r>
      <w:r>
        <w:rPr>
          <w:rFonts w:asciiTheme="majorBidi" w:hAnsiTheme="majorBidi" w:cstheme="majorBidi"/>
          <w:b/>
          <w:bCs/>
        </w:rPr>
        <w:t xml:space="preserve"> </w:t>
      </w:r>
      <w:r w:rsidRPr="0067253E">
        <w:rPr>
          <w:rFonts w:asciiTheme="majorBidi" w:hAnsiTheme="majorBidi" w:cstheme="majorBidi"/>
          <w:b/>
          <w:bCs/>
        </w:rPr>
        <w:t>jours</w:t>
      </w:r>
      <w:r>
        <w:rPr>
          <w:rFonts w:asciiTheme="majorBidi" w:hAnsiTheme="majorBidi" w:cstheme="majorBidi"/>
          <w:b/>
          <w:bCs/>
        </w:rPr>
        <w:t>.</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C66E7" w:rsidP="002203B9">
      <w:pPr>
        <w:spacing w:before="0" w:after="0" w:line="360" w:lineRule="auto"/>
        <w:ind w:left="1276" w:hanging="850"/>
        <w:contextualSpacing/>
        <w:jc w:val="both"/>
        <w:rPr>
          <w:rFonts w:asciiTheme="majorBidi" w:hAnsiTheme="majorBidi" w:cstheme="majorBidi"/>
          <w:b/>
          <w:bCs/>
        </w:rPr>
      </w:pPr>
      <w:r w:rsidRPr="0067253E">
        <w:rPr>
          <w:rFonts w:asciiTheme="majorBidi" w:hAnsiTheme="majorBidi" w:cstheme="majorBidi"/>
          <w:b/>
          <w:bCs/>
        </w:rPr>
        <w:t>V.2.1. Viabilité et activité post-acidifiante de la culture de Streptococcus thermophilus en présence d’une souche bénéfique</w:t>
      </w:r>
      <w:r>
        <w:rPr>
          <w:rFonts w:asciiTheme="majorBidi" w:hAnsiTheme="majorBidi" w:cstheme="majorBidi"/>
          <w:b/>
          <w:bCs/>
        </w:rPr>
        <w:t xml:space="preserve"> au cours de l’entreposage à 4°C.</w:t>
      </w:r>
    </w:p>
    <w:p w:rsidR="006C66E7" w:rsidRPr="0067253E" w:rsidRDefault="006C66E7" w:rsidP="006C66E7">
      <w:pPr>
        <w:spacing w:before="0" w:after="0" w:line="360" w:lineRule="auto"/>
        <w:ind w:hanging="916"/>
        <w:contextualSpacing/>
        <w:jc w:val="both"/>
        <w:rPr>
          <w:rFonts w:asciiTheme="majorBidi" w:hAnsiTheme="majorBidi" w:cstheme="majorBidi"/>
          <w:b/>
          <w:bCs/>
        </w:rPr>
      </w:pPr>
    </w:p>
    <w:p w:rsidR="006C66E7" w:rsidRPr="002C5418" w:rsidRDefault="006C66E7" w:rsidP="006C66E7">
      <w:pPr>
        <w:spacing w:before="0" w:after="0" w:line="360" w:lineRule="auto"/>
        <w:ind w:firstLine="360"/>
        <w:contextualSpacing/>
        <w:jc w:val="both"/>
        <w:rPr>
          <w:rFonts w:asciiTheme="majorBidi" w:hAnsiTheme="majorBidi" w:cstheme="majorBidi"/>
          <w:color w:val="3333FF"/>
        </w:rPr>
      </w:pPr>
      <w:r w:rsidRPr="0067253E">
        <w:rPr>
          <w:rFonts w:asciiTheme="majorBidi" w:hAnsiTheme="majorBidi" w:cstheme="majorBidi"/>
        </w:rPr>
        <w:t>L’association</w:t>
      </w:r>
      <w:r w:rsidRPr="0067253E">
        <w:rPr>
          <w:rFonts w:asciiTheme="majorBidi" w:hAnsiTheme="majorBidi" w:cstheme="majorBidi"/>
          <w:b/>
          <w:bCs/>
        </w:rPr>
        <w:t xml:space="preserve"> </w:t>
      </w:r>
      <w:r w:rsidRPr="0067253E">
        <w:rPr>
          <w:rFonts w:asciiTheme="majorBidi" w:hAnsiTheme="majorBidi" w:cstheme="majorBidi"/>
        </w:rPr>
        <w:t xml:space="preserve">des souches bénéfiques avec la souche </w:t>
      </w:r>
      <w:r w:rsidRPr="0067253E">
        <w:rPr>
          <w:rFonts w:asciiTheme="majorBidi" w:hAnsiTheme="majorBidi" w:cstheme="majorBidi"/>
          <w:i/>
          <w:iCs/>
        </w:rPr>
        <w:t>Streptococcus</w:t>
      </w:r>
      <w:r w:rsidRPr="0067253E">
        <w:rPr>
          <w:rFonts w:asciiTheme="majorBidi" w:hAnsiTheme="majorBidi" w:cstheme="majorBidi"/>
        </w:rPr>
        <w:t xml:space="preserve"> </w:t>
      </w:r>
      <w:r w:rsidRPr="0067253E">
        <w:rPr>
          <w:rFonts w:asciiTheme="majorBidi" w:hAnsiTheme="majorBidi" w:cstheme="majorBidi"/>
          <w:i/>
          <w:iCs/>
        </w:rPr>
        <w:t>thermophilus</w:t>
      </w:r>
      <w:r w:rsidRPr="0067253E">
        <w:rPr>
          <w:rFonts w:asciiTheme="majorBidi" w:hAnsiTheme="majorBidi" w:cstheme="majorBidi"/>
        </w:rPr>
        <w:t xml:space="preserve"> en absence d’ingrédients protéiques a engendré en effet positif (P&lt;0.05) sur la viabilité des cinq souches testées. </w:t>
      </w:r>
      <w:r>
        <w:rPr>
          <w:rFonts w:asciiTheme="majorBidi" w:hAnsiTheme="majorBidi" w:cstheme="majorBidi"/>
        </w:rPr>
        <w:t>Au</w:t>
      </w:r>
      <w:r w:rsidRPr="0067253E">
        <w:rPr>
          <w:rFonts w:asciiTheme="majorBidi" w:hAnsiTheme="majorBidi" w:cstheme="majorBidi"/>
        </w:rPr>
        <w:t xml:space="preserve"> 7</w:t>
      </w:r>
      <w:r w:rsidRPr="0067253E">
        <w:rPr>
          <w:rFonts w:asciiTheme="majorBidi" w:hAnsiTheme="majorBidi" w:cstheme="majorBidi"/>
          <w:vertAlign w:val="superscript"/>
        </w:rPr>
        <w:t>ème</w:t>
      </w:r>
      <w:r w:rsidRPr="0067253E">
        <w:rPr>
          <w:rFonts w:asciiTheme="majorBidi" w:hAnsiTheme="majorBidi" w:cstheme="majorBidi"/>
        </w:rPr>
        <w:t xml:space="preserve"> jour d’entreposage, la viabilité de la biomasse des souches bénéfiques étaient de l’ordre de 80.09, 93.24, 85.69, 88.11 et 84.19% pour BLR, LbRE-LSAS, Bb12, Lba CECT4529 et Lbp CECT748, respectivement ; soit une </w:t>
      </w:r>
      <w:r>
        <w:rPr>
          <w:rFonts w:asciiTheme="majorBidi" w:hAnsiTheme="majorBidi" w:cstheme="majorBidi"/>
        </w:rPr>
        <w:t>augmentation de</w:t>
      </w:r>
      <w:r w:rsidRPr="0067253E">
        <w:rPr>
          <w:rFonts w:asciiTheme="majorBidi" w:hAnsiTheme="majorBidi" w:cstheme="majorBidi"/>
        </w:rPr>
        <w:t xml:space="preserve"> 0.66 à 1.76 unités logarithmiques. Dans le même ordre, et en fin d’entreposage, les pertes en quantités de biomasse étaient de l’ordre de 31.2, 23.01, 25.17, 30.01 et 37,41%</w:t>
      </w:r>
      <w:r>
        <w:rPr>
          <w:rFonts w:asciiTheme="majorBidi" w:hAnsiTheme="majorBidi" w:cstheme="majorBidi"/>
        </w:rPr>
        <w:t>,</w:t>
      </w:r>
      <w:r w:rsidRPr="0067253E">
        <w:rPr>
          <w:rFonts w:asciiTheme="majorBidi" w:hAnsiTheme="majorBidi" w:cstheme="majorBidi"/>
        </w:rPr>
        <w:t xml:space="preserve"> ce qui corresp</w:t>
      </w:r>
      <w:r>
        <w:rPr>
          <w:rFonts w:asciiTheme="majorBidi" w:hAnsiTheme="majorBidi" w:cstheme="majorBidi"/>
        </w:rPr>
        <w:t>ondrait à une diminution de</w:t>
      </w:r>
      <w:r w:rsidRPr="0067253E">
        <w:rPr>
          <w:rFonts w:asciiTheme="majorBidi" w:hAnsiTheme="majorBidi" w:cstheme="majorBidi"/>
        </w:rPr>
        <w:t xml:space="preserve"> 2.25 à 3.46 logUFC/ml</w:t>
      </w:r>
      <w:r>
        <w:rPr>
          <w:rFonts w:asciiTheme="majorBidi" w:hAnsiTheme="majorBidi" w:cstheme="majorBidi"/>
        </w:rPr>
        <w:t xml:space="preserve"> </w:t>
      </w:r>
      <w:r>
        <w:rPr>
          <w:rFonts w:asciiTheme="majorBidi" w:hAnsiTheme="majorBidi" w:cstheme="majorBidi"/>
          <w:color w:val="3333FF"/>
        </w:rPr>
        <w:t>(figure 9).</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Les pertes en biomasse de </w:t>
      </w:r>
      <w:r w:rsidRPr="0067253E">
        <w:rPr>
          <w:rFonts w:asciiTheme="majorBidi" w:hAnsiTheme="majorBidi" w:cstheme="majorBidi"/>
          <w:i/>
          <w:iCs/>
        </w:rPr>
        <w:t>Streptococcus</w:t>
      </w:r>
      <w:r w:rsidRPr="0067253E">
        <w:rPr>
          <w:rFonts w:asciiTheme="majorBidi" w:hAnsiTheme="majorBidi" w:cstheme="majorBidi"/>
        </w:rPr>
        <w:t xml:space="preserve"> </w:t>
      </w:r>
      <w:r w:rsidRPr="0067253E">
        <w:rPr>
          <w:rFonts w:asciiTheme="majorBidi" w:hAnsiTheme="majorBidi" w:cstheme="majorBidi"/>
          <w:i/>
          <w:iCs/>
        </w:rPr>
        <w:t>thermophilus</w:t>
      </w:r>
      <w:r w:rsidRPr="0067253E">
        <w:rPr>
          <w:rFonts w:asciiTheme="majorBidi" w:hAnsiTheme="majorBidi" w:cstheme="majorBidi"/>
        </w:rPr>
        <w:t xml:space="preserve"> en coculture avec les souches bénéfiques </w:t>
      </w:r>
      <w:r>
        <w:rPr>
          <w:rFonts w:asciiTheme="majorBidi" w:hAnsiTheme="majorBidi" w:cstheme="majorBidi"/>
        </w:rPr>
        <w:t>au</w:t>
      </w:r>
      <w:r w:rsidRPr="0067253E">
        <w:rPr>
          <w:rFonts w:asciiTheme="majorBidi" w:hAnsiTheme="majorBidi" w:cstheme="majorBidi"/>
        </w:rPr>
        <w:t xml:space="preserve"> 28</w:t>
      </w:r>
      <w:r w:rsidRPr="0067253E">
        <w:rPr>
          <w:rFonts w:asciiTheme="majorBidi" w:hAnsiTheme="majorBidi" w:cstheme="majorBidi"/>
          <w:vertAlign w:val="superscript"/>
        </w:rPr>
        <w:t>ème</w:t>
      </w:r>
      <w:r w:rsidRPr="0067253E">
        <w:rPr>
          <w:rFonts w:asciiTheme="majorBidi" w:hAnsiTheme="majorBidi" w:cstheme="majorBidi"/>
        </w:rPr>
        <w:t xml:space="preserve"> jour d’entreposage </w:t>
      </w:r>
      <w:r>
        <w:rPr>
          <w:rFonts w:asciiTheme="majorBidi" w:hAnsiTheme="majorBidi" w:cstheme="majorBidi"/>
        </w:rPr>
        <w:t xml:space="preserve">à 4°C </w:t>
      </w:r>
      <w:r w:rsidRPr="0067253E">
        <w:rPr>
          <w:rFonts w:asciiTheme="majorBidi" w:hAnsiTheme="majorBidi" w:cstheme="majorBidi"/>
        </w:rPr>
        <w:t xml:space="preserve">sont comprises entre 2.7 </w:t>
      </w:r>
      <w:r>
        <w:rPr>
          <w:rFonts w:asciiTheme="majorBidi" w:hAnsiTheme="majorBidi" w:cstheme="majorBidi"/>
        </w:rPr>
        <w:t>et</w:t>
      </w:r>
      <w:r w:rsidRPr="0067253E">
        <w:rPr>
          <w:rFonts w:asciiTheme="majorBidi" w:hAnsiTheme="majorBidi" w:cstheme="majorBidi"/>
        </w:rPr>
        <w:t xml:space="preserve"> 2.93 logUFC/ml</w:t>
      </w:r>
      <w:r>
        <w:rPr>
          <w:rFonts w:asciiTheme="majorBidi" w:hAnsiTheme="majorBidi" w:cstheme="majorBidi"/>
          <w:color w:val="3333FF"/>
        </w:rPr>
        <w:t xml:space="preserve"> (figure 10)</w:t>
      </w:r>
      <w:r w:rsidRPr="0067253E">
        <w:rPr>
          <w:rFonts w:asciiTheme="majorBidi" w:hAnsiTheme="majorBidi" w:cstheme="majorBidi"/>
        </w:rPr>
        <w:t>.</w:t>
      </w:r>
    </w:p>
    <w:p w:rsidR="006C66E7" w:rsidRDefault="006C66E7" w:rsidP="006C66E7">
      <w:pPr>
        <w:spacing w:before="0" w:after="0" w:line="360" w:lineRule="auto"/>
        <w:ind w:firstLine="360"/>
        <w:contextualSpacing/>
        <w:jc w:val="both"/>
        <w:rPr>
          <w:rFonts w:asciiTheme="majorBidi" w:hAnsiTheme="majorBidi" w:cstheme="majorBidi"/>
        </w:rPr>
      </w:pPr>
      <w:r>
        <w:rPr>
          <w:rFonts w:asciiTheme="majorBidi" w:hAnsiTheme="majorBidi" w:cstheme="majorBidi"/>
        </w:rPr>
        <w:t xml:space="preserve">La présence de </w:t>
      </w:r>
      <w:r w:rsidRPr="0067253E">
        <w:rPr>
          <w:rFonts w:asciiTheme="majorBidi" w:hAnsiTheme="majorBidi" w:cstheme="majorBidi"/>
        </w:rPr>
        <w:t xml:space="preserve">0.53% (P/V) de lactosérum doux, la viabilité des souches bénéfiques BLR, LbRE-LSAS, Bb12, Lba CECT4529 et Lbp CECT748 en fin d’entreposage, est comprise entre 72.06 à 89.13% , </w:t>
      </w:r>
      <w:r>
        <w:rPr>
          <w:rFonts w:asciiTheme="majorBidi" w:hAnsiTheme="majorBidi" w:cstheme="majorBidi"/>
        </w:rPr>
        <w:t>ce qui représente une</w:t>
      </w:r>
      <w:r w:rsidRPr="0067253E">
        <w:rPr>
          <w:rFonts w:asciiTheme="majorBidi" w:hAnsiTheme="majorBidi" w:cstheme="majorBidi"/>
        </w:rPr>
        <w:t xml:space="preserve"> amélioration de 13.14 à 41.05% (0.89 à 2.5 logUFC/ml) par rapport au témoin.</w:t>
      </w:r>
    </w:p>
    <w:p w:rsidR="005D3B01" w:rsidRDefault="005D3B01" w:rsidP="005D3B01">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La biomasse de </w:t>
      </w:r>
      <w:r w:rsidRPr="0067253E">
        <w:rPr>
          <w:rFonts w:asciiTheme="majorBidi" w:hAnsiTheme="majorBidi" w:cstheme="majorBidi"/>
          <w:i/>
          <w:iCs/>
        </w:rPr>
        <w:t>Streptococcus</w:t>
      </w:r>
      <w:r w:rsidRPr="0067253E">
        <w:rPr>
          <w:rFonts w:asciiTheme="majorBidi" w:hAnsiTheme="majorBidi" w:cstheme="majorBidi"/>
        </w:rPr>
        <w:t xml:space="preserve"> </w:t>
      </w:r>
      <w:r w:rsidRPr="0067253E">
        <w:rPr>
          <w:rFonts w:asciiTheme="majorBidi" w:hAnsiTheme="majorBidi" w:cstheme="majorBidi"/>
          <w:i/>
          <w:iCs/>
        </w:rPr>
        <w:t>thermophilus</w:t>
      </w:r>
      <w:r w:rsidRPr="0067253E">
        <w:rPr>
          <w:rFonts w:asciiTheme="majorBidi" w:hAnsiTheme="majorBidi" w:cstheme="majorBidi"/>
        </w:rPr>
        <w:t xml:space="preserve"> </w:t>
      </w:r>
      <w:r>
        <w:rPr>
          <w:rFonts w:asciiTheme="majorBidi" w:hAnsiTheme="majorBidi" w:cstheme="majorBidi"/>
        </w:rPr>
        <w:t>au</w:t>
      </w:r>
      <w:r w:rsidRPr="0067253E">
        <w:rPr>
          <w:rFonts w:asciiTheme="majorBidi" w:hAnsiTheme="majorBidi" w:cstheme="majorBidi"/>
        </w:rPr>
        <w:t xml:space="preserve"> 28</w:t>
      </w:r>
      <w:r w:rsidRPr="0067253E">
        <w:rPr>
          <w:rFonts w:asciiTheme="majorBidi" w:hAnsiTheme="majorBidi" w:cstheme="majorBidi"/>
          <w:vertAlign w:val="superscript"/>
        </w:rPr>
        <w:t>ème</w:t>
      </w:r>
      <w:r w:rsidRPr="0067253E">
        <w:rPr>
          <w:rFonts w:asciiTheme="majorBidi" w:hAnsiTheme="majorBidi" w:cstheme="majorBidi"/>
        </w:rPr>
        <w:t xml:space="preserve"> jour d’entreposage est comprise entre 7.09 </w:t>
      </w:r>
      <w:r>
        <w:rPr>
          <w:rFonts w:asciiTheme="majorBidi" w:hAnsiTheme="majorBidi" w:cstheme="majorBidi"/>
        </w:rPr>
        <w:t>et</w:t>
      </w:r>
      <w:r w:rsidRPr="0067253E">
        <w:rPr>
          <w:rFonts w:asciiTheme="majorBidi" w:hAnsiTheme="majorBidi" w:cstheme="majorBidi"/>
        </w:rPr>
        <w:t xml:space="preserve"> 7.82 logUFC/ml</w:t>
      </w:r>
      <w:r>
        <w:rPr>
          <w:rFonts w:asciiTheme="majorBidi" w:hAnsiTheme="majorBidi" w:cstheme="majorBidi"/>
        </w:rPr>
        <w:t xml:space="preserve">, elle et ainsi améliore </w:t>
      </w:r>
      <w:r w:rsidRPr="0067253E">
        <w:rPr>
          <w:rFonts w:asciiTheme="majorBidi" w:hAnsiTheme="majorBidi" w:cstheme="majorBidi"/>
        </w:rPr>
        <w:t>de 27.06 à 37.97% par rapport au témoin.</w:t>
      </w:r>
    </w:p>
    <w:p w:rsidR="005D3B01" w:rsidRDefault="005D3B01">
      <w:pPr>
        <w:spacing w:before="0" w:after="200" w:line="276" w:lineRule="auto"/>
        <w:ind w:firstLine="0"/>
        <w:rPr>
          <w:rFonts w:asciiTheme="majorBidi" w:hAnsiTheme="majorBidi" w:cstheme="majorBidi"/>
        </w:rPr>
      </w:pPr>
      <w:r>
        <w:rPr>
          <w:rFonts w:asciiTheme="majorBidi" w:hAnsiTheme="majorBidi" w:cstheme="majorBidi"/>
        </w:rPr>
        <w:br w:type="page"/>
      </w:r>
    </w:p>
    <w:p w:rsidR="006C66E7" w:rsidRPr="0067253E" w:rsidRDefault="006F133D" w:rsidP="006C66E7">
      <w:pPr>
        <w:spacing w:before="0" w:after="0" w:line="360" w:lineRule="auto"/>
        <w:ind w:firstLine="360"/>
        <w:contextualSpacing/>
        <w:jc w:val="both"/>
        <w:rPr>
          <w:rFonts w:asciiTheme="majorBidi" w:hAnsiTheme="majorBidi" w:cstheme="majorBidi"/>
        </w:rPr>
      </w:pPr>
      <w:r>
        <w:rPr>
          <w:rFonts w:asciiTheme="majorBidi" w:hAnsiTheme="majorBidi" w:cstheme="majorBidi"/>
          <w:noProof/>
          <w:lang w:eastAsia="fr-FR"/>
        </w:rPr>
        <w:lastRenderedPageBreak/>
        <w:pict>
          <v:shape id="_x0000_s2101" type="#_x0000_t202" style="position:absolute;left:0;text-align:left;margin-left:226.35pt;margin-top:-2.9pt;width:201pt;height:182.25pt;z-index:251712512" strokecolor="white [3212]">
            <v:textbox>
              <w:txbxContent>
                <w:p w:rsidR="00310CA5" w:rsidRDefault="00310CA5" w:rsidP="006C66E7">
                  <w:pPr>
                    <w:ind w:firstLine="0"/>
                  </w:pPr>
                  <w:r w:rsidRPr="007A34FE">
                    <w:rPr>
                      <w:noProof/>
                      <w:lang w:eastAsia="fr-FR"/>
                    </w:rPr>
                    <w:drawing>
                      <wp:inline distT="0" distB="0" distL="0" distR="0">
                        <wp:extent cx="2360295" cy="2162175"/>
                        <wp:effectExtent l="38100" t="0" r="20955" b="0"/>
                        <wp:docPr id="718" name="Graphique 71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inline>
                    </w:drawing>
                  </w:r>
                </w:p>
              </w:txbxContent>
            </v:textbox>
          </v:shape>
        </w:pict>
      </w:r>
      <w:r>
        <w:rPr>
          <w:rFonts w:asciiTheme="majorBidi" w:hAnsiTheme="majorBidi" w:cstheme="majorBidi"/>
          <w:noProof/>
          <w:lang w:eastAsia="fr-FR"/>
        </w:rPr>
        <w:pict>
          <v:shape id="_x0000_s2100" type="#_x0000_t202" style="position:absolute;left:0;text-align:left;margin-left:10.35pt;margin-top:-2.9pt;width:207.75pt;height:191.25pt;z-index:251711488" strokecolor="white [3212]">
            <v:textbox>
              <w:txbxContent>
                <w:p w:rsidR="00310CA5" w:rsidRDefault="00310CA5" w:rsidP="006C66E7">
                  <w:pPr>
                    <w:ind w:firstLine="0"/>
                  </w:pPr>
                  <w:r w:rsidRPr="007A34FE">
                    <w:rPr>
                      <w:noProof/>
                      <w:lang w:eastAsia="fr-FR"/>
                    </w:rPr>
                    <w:drawing>
                      <wp:inline distT="0" distB="0" distL="0" distR="0">
                        <wp:extent cx="2381250" cy="2228850"/>
                        <wp:effectExtent l="38100" t="19050" r="19050" b="0"/>
                        <wp:docPr id="717" name="Graphique 71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inline>
                    </w:drawing>
                  </w:r>
                </w:p>
              </w:txbxContent>
            </v:textbox>
          </v:shape>
        </w:pict>
      </w:r>
      <w:r>
        <w:rPr>
          <w:rFonts w:asciiTheme="majorBidi" w:hAnsiTheme="majorBidi" w:cstheme="majorBidi"/>
          <w:noProof/>
          <w:lang w:eastAsia="fr-FR"/>
        </w:rPr>
        <w:pict>
          <v:shape id="_x0000_s2099" type="#_x0000_t202" style="position:absolute;left:0;text-align:left;margin-left:2.85pt;margin-top:-11.15pt;width:6in;height:690pt;z-index:251710464">
            <v:textbox>
              <w:txbxContent>
                <w:p w:rsidR="00310CA5" w:rsidRDefault="00310CA5" w:rsidP="006C66E7"/>
              </w:txbxContent>
            </v:textbox>
          </v:shape>
        </w:pic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F133D" w:rsidP="006C66E7">
      <w:pPr>
        <w:spacing w:before="0" w:after="0" w:line="276" w:lineRule="auto"/>
        <w:ind w:firstLine="0"/>
        <w:rPr>
          <w:rFonts w:asciiTheme="majorBidi" w:hAnsiTheme="majorBidi" w:cstheme="majorBidi"/>
        </w:rPr>
      </w:pPr>
      <w:r>
        <w:rPr>
          <w:rFonts w:asciiTheme="majorBidi" w:hAnsiTheme="majorBidi" w:cstheme="majorBidi"/>
          <w:noProof/>
          <w:lang w:eastAsia="fr-FR"/>
        </w:rPr>
        <w:pict>
          <v:shape id="_x0000_s2105" type="#_x0000_t202" style="position:absolute;margin-left:14.85pt;margin-top:520.45pt;width:412.5pt;height:105pt;z-index:251716608" strokecolor="white [3212]">
            <v:textbox>
              <w:txbxContent>
                <w:p w:rsidR="00310CA5" w:rsidRDefault="00310CA5" w:rsidP="00310CA5">
                  <w:pPr>
                    <w:ind w:left="993" w:hanging="993"/>
                    <w:jc w:val="both"/>
                  </w:pPr>
                  <w:r w:rsidRPr="000201F9">
                    <w:rPr>
                      <w:rFonts w:ascii="Times New Roman" w:hAnsi="Times New Roman" w:cs="Times New Roman"/>
                      <w:b/>
                      <w:bCs/>
                      <w:sz w:val="20"/>
                      <w:szCs w:val="20"/>
                      <w:u w:val="single"/>
                    </w:rPr>
                    <w:t xml:space="preserve">Figure </w:t>
                  </w:r>
                  <w:r>
                    <w:rPr>
                      <w:rFonts w:ascii="Times New Roman" w:hAnsi="Times New Roman" w:cs="Times New Roman"/>
                      <w:b/>
                      <w:bCs/>
                      <w:sz w:val="20"/>
                      <w:szCs w:val="20"/>
                      <w:u w:val="single"/>
                    </w:rPr>
                    <w:t>9</w:t>
                  </w:r>
                  <w:r w:rsidRPr="00B249DE">
                    <w:rPr>
                      <w:rFonts w:ascii="Times New Roman" w:hAnsi="Times New Roman" w:cs="Times New Roman"/>
                      <w:sz w:val="20"/>
                      <w:szCs w:val="20"/>
                    </w:rPr>
                    <w:t xml:space="preserve"> : Cinétique </w:t>
                  </w:r>
                  <w:r w:rsidRPr="00A1575D">
                    <w:rPr>
                      <w:rFonts w:ascii="Times New Roman" w:hAnsi="Times New Roman" w:cs="Times New Roman"/>
                      <w:b/>
                      <w:bCs/>
                      <w:sz w:val="20"/>
                      <w:szCs w:val="20"/>
                    </w:rPr>
                    <w:t>de viabilité au cours de l’entreposage à +4°C</w:t>
                  </w:r>
                  <w:r>
                    <w:rPr>
                      <w:rFonts w:ascii="Times New Roman" w:hAnsi="Times New Roman" w:cs="Times New Roman"/>
                      <w:sz w:val="20"/>
                      <w:szCs w:val="20"/>
                    </w:rPr>
                    <w:t xml:space="preserve"> </w:t>
                  </w:r>
                  <w:r w:rsidRPr="00B249DE">
                    <w:rPr>
                      <w:rFonts w:ascii="Times New Roman" w:hAnsi="Times New Roman" w:cs="Times New Roman"/>
                      <w:sz w:val="20"/>
                      <w:szCs w:val="20"/>
                    </w:rPr>
                    <w:t xml:space="preserve">des souches </w:t>
                  </w:r>
                  <w:r>
                    <w:rPr>
                      <w:rFonts w:ascii="Times New Roman" w:hAnsi="Times New Roman" w:cs="Times New Roman"/>
                      <w:sz w:val="20"/>
                      <w:szCs w:val="20"/>
                    </w:rPr>
                    <w:t>bénéf</w:t>
                  </w:r>
                  <w:r w:rsidRPr="00B249DE">
                    <w:rPr>
                      <w:rFonts w:ascii="Times New Roman" w:hAnsi="Times New Roman" w:cs="Times New Roman"/>
                      <w:sz w:val="20"/>
                      <w:szCs w:val="20"/>
                    </w:rPr>
                    <w:t xml:space="preserve">iques </w:t>
                  </w:r>
                  <w:r w:rsidRPr="00A1575D">
                    <w:rPr>
                      <w:rFonts w:ascii="Times New Roman" w:hAnsi="Times New Roman" w:cs="Times New Roman"/>
                      <w:b/>
                      <w:bCs/>
                      <w:sz w:val="20"/>
                      <w:szCs w:val="20"/>
                    </w:rPr>
                    <w:t>BLR</w:t>
                  </w:r>
                  <w:r w:rsidRPr="00B249DE">
                    <w:rPr>
                      <w:rFonts w:ascii="Times New Roman" w:hAnsi="Times New Roman" w:cs="Times New Roman"/>
                      <w:sz w:val="20"/>
                      <w:szCs w:val="20"/>
                    </w:rPr>
                    <w:t> </w:t>
                  </w:r>
                  <w:r w:rsidRPr="00B249DE">
                    <w:rPr>
                      <w:rFonts w:ascii="Times New Roman" w:hAnsi="Times New Roman" w:cs="Times New Roman"/>
                      <w:b/>
                      <w:bCs/>
                      <w:sz w:val="20"/>
                      <w:szCs w:val="20"/>
                    </w:rPr>
                    <w:t>(A)</w:t>
                  </w:r>
                  <w:r>
                    <w:rPr>
                      <w:rFonts w:ascii="Times New Roman" w:hAnsi="Times New Roman" w:cs="Times New Roman"/>
                      <w:sz w:val="20"/>
                      <w:szCs w:val="20"/>
                    </w:rPr>
                    <w:t xml:space="preserve">; </w:t>
                  </w:r>
                  <w:r w:rsidRPr="00A1575D">
                    <w:rPr>
                      <w:rFonts w:ascii="Times New Roman" w:hAnsi="Times New Roman" w:cs="Times New Roman"/>
                      <w:b/>
                      <w:bCs/>
                      <w:sz w:val="20"/>
                      <w:szCs w:val="20"/>
                    </w:rPr>
                    <w:t>LbRE-LSAS</w:t>
                  </w:r>
                  <w:r w:rsidRPr="00B249DE">
                    <w:rPr>
                      <w:rFonts w:ascii="Times New Roman" w:hAnsi="Times New Roman" w:cs="Times New Roman"/>
                      <w:sz w:val="20"/>
                      <w:szCs w:val="20"/>
                    </w:rPr>
                    <w:t> </w:t>
                  </w:r>
                  <w:r w:rsidRPr="00B249DE">
                    <w:rPr>
                      <w:rFonts w:ascii="Times New Roman" w:hAnsi="Times New Roman" w:cs="Times New Roman"/>
                      <w:b/>
                      <w:bCs/>
                      <w:sz w:val="20"/>
                      <w:szCs w:val="20"/>
                    </w:rPr>
                    <w:t>(B)</w:t>
                  </w:r>
                  <w:r w:rsidRPr="00B249DE">
                    <w:rPr>
                      <w:rFonts w:ascii="Times New Roman" w:hAnsi="Times New Roman" w:cs="Times New Roman"/>
                      <w:sz w:val="20"/>
                      <w:szCs w:val="20"/>
                    </w:rPr>
                    <w:t xml:space="preserve">; </w:t>
                  </w:r>
                  <w:r w:rsidRPr="00A1575D">
                    <w:rPr>
                      <w:rFonts w:ascii="Times New Roman" w:hAnsi="Times New Roman" w:cs="Times New Roman"/>
                      <w:b/>
                      <w:bCs/>
                      <w:sz w:val="20"/>
                      <w:szCs w:val="20"/>
                    </w:rPr>
                    <w:t>Bb12</w:t>
                  </w:r>
                  <w:r w:rsidRPr="00B249DE">
                    <w:rPr>
                      <w:rFonts w:ascii="Times New Roman" w:hAnsi="Times New Roman" w:cs="Times New Roman"/>
                      <w:sz w:val="20"/>
                      <w:szCs w:val="20"/>
                    </w:rPr>
                    <w:t> </w:t>
                  </w:r>
                  <w:r w:rsidRPr="00B249DE">
                    <w:rPr>
                      <w:rFonts w:ascii="Times New Roman" w:hAnsi="Times New Roman" w:cs="Times New Roman"/>
                      <w:b/>
                      <w:bCs/>
                      <w:sz w:val="20"/>
                      <w:szCs w:val="20"/>
                    </w:rPr>
                    <w:t>(C)</w:t>
                  </w:r>
                  <w:r w:rsidRPr="00B249DE">
                    <w:rPr>
                      <w:rFonts w:ascii="Times New Roman" w:hAnsi="Times New Roman" w:cs="Times New Roman"/>
                      <w:sz w:val="20"/>
                      <w:szCs w:val="20"/>
                    </w:rPr>
                    <w:t xml:space="preserve">; </w:t>
                  </w:r>
                  <w:r w:rsidRPr="00A1575D">
                    <w:rPr>
                      <w:rFonts w:ascii="Times New Roman" w:hAnsi="Times New Roman" w:cs="Times New Roman"/>
                      <w:b/>
                      <w:bCs/>
                      <w:sz w:val="20"/>
                      <w:szCs w:val="20"/>
                    </w:rPr>
                    <w:t>Lba</w:t>
                  </w:r>
                  <w:r>
                    <w:rPr>
                      <w:rFonts w:ascii="Times New Roman" w:hAnsi="Times New Roman" w:cs="Times New Roman"/>
                      <w:b/>
                      <w:bCs/>
                      <w:sz w:val="20"/>
                      <w:szCs w:val="20"/>
                    </w:rPr>
                    <w:t xml:space="preserve"> </w:t>
                  </w:r>
                  <w:r w:rsidRPr="00A1575D">
                    <w:rPr>
                      <w:rFonts w:ascii="Times New Roman" w:hAnsi="Times New Roman" w:cs="Times New Roman"/>
                      <w:b/>
                      <w:bCs/>
                      <w:sz w:val="20"/>
                      <w:szCs w:val="20"/>
                    </w:rPr>
                    <w:t>CECT4529</w:t>
                  </w:r>
                  <w:r w:rsidRPr="00B249DE">
                    <w:rPr>
                      <w:rFonts w:ascii="Times New Roman" w:hAnsi="Times New Roman" w:cs="Times New Roman"/>
                      <w:sz w:val="20"/>
                      <w:szCs w:val="20"/>
                    </w:rPr>
                    <w:t xml:space="preserve"> </w:t>
                  </w:r>
                  <w:r w:rsidRPr="00B249DE">
                    <w:rPr>
                      <w:rFonts w:ascii="Times New Roman" w:hAnsi="Times New Roman" w:cs="Times New Roman"/>
                      <w:b/>
                      <w:bCs/>
                      <w:sz w:val="20"/>
                      <w:szCs w:val="20"/>
                    </w:rPr>
                    <w:t>(D)</w:t>
                  </w:r>
                  <w:r w:rsidRPr="00B249DE">
                    <w:rPr>
                      <w:rFonts w:ascii="Times New Roman" w:hAnsi="Times New Roman" w:cs="Times New Roman"/>
                      <w:sz w:val="20"/>
                      <w:szCs w:val="20"/>
                    </w:rPr>
                    <w:t xml:space="preserve"> </w:t>
                  </w:r>
                  <w:r>
                    <w:rPr>
                      <w:rFonts w:ascii="Times New Roman" w:hAnsi="Times New Roman" w:cs="Times New Roman"/>
                      <w:sz w:val="20"/>
                      <w:szCs w:val="20"/>
                    </w:rPr>
                    <w:t>ou</w:t>
                  </w:r>
                  <w:r w:rsidRPr="00B249DE">
                    <w:rPr>
                      <w:rFonts w:ascii="Times New Roman" w:hAnsi="Times New Roman" w:cs="Times New Roman"/>
                      <w:sz w:val="20"/>
                      <w:szCs w:val="20"/>
                    </w:rPr>
                    <w:t xml:space="preserve"> </w:t>
                  </w:r>
                  <w:r w:rsidRPr="00A1575D">
                    <w:rPr>
                      <w:rFonts w:ascii="Times New Roman" w:hAnsi="Times New Roman" w:cs="Times New Roman"/>
                      <w:b/>
                      <w:bCs/>
                      <w:sz w:val="20"/>
                      <w:szCs w:val="20"/>
                    </w:rPr>
                    <w:t>Lbp</w:t>
                  </w:r>
                  <w:r>
                    <w:rPr>
                      <w:rFonts w:ascii="Times New Roman" w:hAnsi="Times New Roman" w:cs="Times New Roman"/>
                      <w:b/>
                      <w:bCs/>
                      <w:sz w:val="20"/>
                      <w:szCs w:val="20"/>
                    </w:rPr>
                    <w:t xml:space="preserve"> </w:t>
                  </w:r>
                  <w:r w:rsidRPr="00A1575D">
                    <w:rPr>
                      <w:rFonts w:ascii="Times New Roman" w:hAnsi="Times New Roman" w:cs="Times New Roman"/>
                      <w:b/>
                      <w:bCs/>
                      <w:sz w:val="20"/>
                      <w:szCs w:val="20"/>
                    </w:rPr>
                    <w:t>CECT748</w:t>
                  </w:r>
                  <w:r w:rsidRPr="00B249DE">
                    <w:rPr>
                      <w:rFonts w:ascii="Times New Roman" w:hAnsi="Times New Roman" w:cs="Times New Roman"/>
                      <w:sz w:val="20"/>
                      <w:szCs w:val="20"/>
                    </w:rPr>
                    <w:t xml:space="preserve"> </w:t>
                  </w:r>
                  <w:r w:rsidRPr="00B249DE">
                    <w:rPr>
                      <w:rFonts w:ascii="Times New Roman" w:hAnsi="Times New Roman" w:cs="Times New Roman"/>
                      <w:b/>
                      <w:bCs/>
                      <w:sz w:val="20"/>
                      <w:szCs w:val="20"/>
                    </w:rPr>
                    <w:t>(E)</w:t>
                  </w:r>
                  <w:r w:rsidRPr="00B249DE">
                    <w:rPr>
                      <w:rFonts w:ascii="Times New Roman" w:hAnsi="Times New Roman" w:cs="Times New Roman"/>
                      <w:sz w:val="20"/>
                      <w:szCs w:val="20"/>
                    </w:rPr>
                    <w:t xml:space="preserve"> dans </w:t>
                  </w:r>
                  <w:r>
                    <w:rPr>
                      <w:rFonts w:ascii="Times New Roman" w:hAnsi="Times New Roman" w:cs="Times New Roman"/>
                      <w:sz w:val="20"/>
                      <w:szCs w:val="20"/>
                    </w:rPr>
                    <w:t xml:space="preserve">le </w:t>
                  </w:r>
                  <w:r w:rsidRPr="00B249DE">
                    <w:rPr>
                      <w:rFonts w:ascii="Times New Roman" w:hAnsi="Times New Roman" w:cs="Times New Roman"/>
                      <w:sz w:val="20"/>
                      <w:szCs w:val="20"/>
                    </w:rPr>
                    <w:t xml:space="preserve">lait fermenté à 37°C en culture mixte avec la souche lactique </w:t>
                  </w:r>
                  <w:r w:rsidRPr="00B249DE">
                    <w:rPr>
                      <w:rFonts w:ascii="Times New Roman" w:hAnsi="Times New Roman" w:cs="Times New Roman"/>
                      <w:i/>
                      <w:iCs/>
                      <w:sz w:val="20"/>
                      <w:szCs w:val="20"/>
                    </w:rPr>
                    <w:t>Streptococcus thermophilus</w:t>
                  </w:r>
                  <w:r w:rsidRPr="00B249DE">
                    <w:rPr>
                      <w:rFonts w:ascii="Times New Roman" w:hAnsi="Times New Roman" w:cs="Times New Roman"/>
                      <w:sz w:val="20"/>
                      <w:szCs w:val="20"/>
                    </w:rPr>
                    <w:t xml:space="preserve"> STB01. </w:t>
                  </w:r>
                  <w:r w:rsidRPr="003468B2">
                    <w:rPr>
                      <w:rFonts w:ascii="Times New Roman" w:hAnsi="Times New Roman" w:cs="Times New Roman"/>
                      <w:sz w:val="20"/>
                      <w:szCs w:val="20"/>
                    </w:rPr>
                    <w:t>Cultures mixtes témoin (</w:t>
                  </w:r>
                  <w:r w:rsidRPr="00C44983">
                    <w:rPr>
                      <w:rFonts w:ascii="Times New Roman" w:hAnsi="Times New Roman" w:cs="Times New Roman"/>
                      <w:noProof/>
                      <w:color w:val="0070C0"/>
                      <w:sz w:val="20"/>
                      <w:szCs w:val="20"/>
                      <w:lang w:eastAsia="fr-FR"/>
                    </w:rPr>
                    <w:t>■</w:t>
                  </w:r>
                  <w:r w:rsidRPr="003468B2">
                    <w:rPr>
                      <w:rFonts w:ascii="Times New Roman" w:hAnsi="Times New Roman" w:cs="Times New Roman"/>
                      <w:sz w:val="20"/>
                      <w:szCs w:val="20"/>
                    </w:rPr>
                    <w:t xml:space="preserve">), cultures mixtes additionnées de 0,53% </w:t>
                  </w:r>
                  <w:r>
                    <w:rPr>
                      <w:rFonts w:ascii="Times New Roman" w:hAnsi="Times New Roman" w:cs="Times New Roman"/>
                      <w:sz w:val="20"/>
                      <w:szCs w:val="20"/>
                    </w:rPr>
                    <w:t xml:space="preserve">(P/V) : </w:t>
                  </w:r>
                  <w:r w:rsidRPr="003468B2">
                    <w:rPr>
                      <w:rFonts w:ascii="Times New Roman" w:hAnsi="Times New Roman" w:cs="Times New Roman"/>
                      <w:sz w:val="20"/>
                      <w:szCs w:val="20"/>
                    </w:rPr>
                    <w:t>de lactosérum doux (</w:t>
                  </w:r>
                  <w:r w:rsidRPr="007A6C8B">
                    <w:rPr>
                      <w:rFonts w:ascii="Times New Roman" w:hAnsi="Times New Roman" w:cs="Times New Roman"/>
                      <w:color w:val="FF9900"/>
                      <w:sz w:val="20"/>
                      <w:szCs w:val="20"/>
                    </w:rPr>
                    <w:t>■</w:t>
                  </w:r>
                  <w:r w:rsidRPr="003468B2">
                    <w:rPr>
                      <w:rFonts w:ascii="Times New Roman" w:hAnsi="Times New Roman" w:cs="Times New Roman"/>
                      <w:sz w:val="20"/>
                      <w:szCs w:val="20"/>
                    </w:rPr>
                    <w:t>), de Promilk 852A2 (</w:t>
                  </w:r>
                  <w:r w:rsidRPr="00C44983">
                    <w:rPr>
                      <w:rFonts w:ascii="Times New Roman" w:hAnsi="Times New Roman" w:cs="Times New Roman"/>
                      <w:color w:val="92D050"/>
                      <w:sz w:val="20"/>
                      <w:szCs w:val="20"/>
                    </w:rPr>
                    <w:t>■</w:t>
                  </w:r>
                  <w:r w:rsidRPr="003468B2">
                    <w:rPr>
                      <w:rFonts w:ascii="Times New Roman" w:hAnsi="Times New Roman" w:cs="Times New Roman"/>
                      <w:sz w:val="20"/>
                      <w:szCs w:val="20"/>
                    </w:rPr>
                    <w:t>),</w:t>
                  </w:r>
                  <w:r>
                    <w:rPr>
                      <w:rFonts w:ascii="Times New Roman" w:hAnsi="Times New Roman" w:cs="Times New Roman"/>
                      <w:sz w:val="20"/>
                      <w:szCs w:val="20"/>
                    </w:rPr>
                    <w:t xml:space="preserve"> </w:t>
                  </w:r>
                  <w:r w:rsidRPr="003468B2">
                    <w:rPr>
                      <w:rFonts w:ascii="Times New Roman" w:hAnsi="Times New Roman" w:cs="Times New Roman"/>
                      <w:sz w:val="20"/>
                      <w:szCs w:val="20"/>
                    </w:rPr>
                    <w:t>de Promilk C502 (</w:t>
                  </w:r>
                  <w:r w:rsidRPr="00C44983">
                    <w:rPr>
                      <w:rFonts w:ascii="Times New Roman" w:hAnsi="Times New Roman" w:cs="Times New Roman"/>
                      <w:color w:val="FF33CC"/>
                      <w:sz w:val="20"/>
                      <w:szCs w:val="20"/>
                    </w:rPr>
                    <w:t>■</w:t>
                  </w:r>
                  <w:r w:rsidRPr="003468B2">
                    <w:rPr>
                      <w:rFonts w:ascii="Times New Roman" w:hAnsi="Times New Roman" w:cs="Times New Roman"/>
                      <w:sz w:val="20"/>
                      <w:szCs w:val="20"/>
                    </w:rPr>
                    <w:t>)</w:t>
                  </w:r>
                  <w:r>
                    <w:rPr>
                      <w:rFonts w:ascii="Times New Roman" w:hAnsi="Times New Roman" w:cs="Times New Roman"/>
                      <w:sz w:val="20"/>
                      <w:szCs w:val="20"/>
                    </w:rPr>
                    <w:t xml:space="preserve"> ou </w:t>
                  </w:r>
                  <w:r w:rsidRPr="003468B2">
                    <w:rPr>
                      <w:rFonts w:ascii="Times New Roman" w:hAnsi="Times New Roman" w:cs="Times New Roman"/>
                      <w:sz w:val="20"/>
                      <w:szCs w:val="20"/>
                    </w:rPr>
                    <w:t>d’hydrolysat de caséine (</w:t>
                  </w:r>
                  <w:r w:rsidRPr="00C44983">
                    <w:rPr>
                      <w:rFonts w:ascii="Times New Roman" w:hAnsi="Times New Roman" w:cs="Times New Roman"/>
                      <w:color w:val="990099"/>
                      <w:sz w:val="20"/>
                      <w:szCs w:val="20"/>
                    </w:rPr>
                    <w:t>■</w:t>
                  </w:r>
                  <w:r>
                    <w:rPr>
                      <w:rFonts w:ascii="Times New Roman" w:hAnsi="Times New Roman" w:cs="Times New Roman"/>
                      <w:sz w:val="20"/>
                      <w:szCs w:val="20"/>
                    </w:rPr>
                    <w:t>)</w:t>
                  </w:r>
                  <w:r w:rsidRPr="00B249DE">
                    <w:rPr>
                      <w:rFonts w:ascii="Times New Roman" w:hAnsi="Times New Roman" w:cs="Times New Roman"/>
                      <w:sz w:val="20"/>
                      <w:szCs w:val="20"/>
                    </w:rPr>
                    <w:t>. Dans toutes les cultures mixtes, l’inoculum est à une concentration finale de 10</w:t>
                  </w:r>
                  <w:r w:rsidRPr="00B249DE">
                    <w:rPr>
                      <w:rFonts w:ascii="Times New Roman" w:hAnsi="Times New Roman" w:cs="Times New Roman"/>
                      <w:sz w:val="20"/>
                      <w:szCs w:val="20"/>
                      <w:vertAlign w:val="superscript"/>
                    </w:rPr>
                    <w:t>7</w:t>
                  </w:r>
                  <w:r w:rsidRPr="00B249DE">
                    <w:rPr>
                      <w:rFonts w:ascii="Times New Roman" w:hAnsi="Times New Roman" w:cs="Times New Roman"/>
                      <w:sz w:val="20"/>
                      <w:szCs w:val="20"/>
                    </w:rPr>
                    <w:t xml:space="preserve"> UFC/ml et utilisé à 1% (1 :1). Les valeurs représentent la moyenne (m) de 9 déterminations ±S</w:t>
                  </w:r>
                  <w:r>
                    <w:rPr>
                      <w:rFonts w:ascii="Times New Roman" w:hAnsi="Times New Roman" w:cs="Times New Roman"/>
                      <w:sz w:val="20"/>
                      <w:szCs w:val="20"/>
                    </w:rPr>
                    <w:t>EM</w:t>
                  </w:r>
                  <w:r w:rsidRPr="00B249DE">
                    <w:rPr>
                      <w:rFonts w:ascii="Times New Roman" w:hAnsi="Times New Roman" w:cs="Times New Roman"/>
                      <w:sz w:val="20"/>
                      <w:szCs w:val="20"/>
                    </w:rPr>
                    <w:t xml:space="preserve"> (n</w:t>
                  </w:r>
                  <w:r>
                    <w:rPr>
                      <w:rFonts w:ascii="Times New Roman" w:hAnsi="Times New Roman" w:cs="Times New Roman"/>
                      <w:sz w:val="20"/>
                      <w:szCs w:val="20"/>
                    </w:rPr>
                    <w:t xml:space="preserve"> </w:t>
                  </w:r>
                  <w:r w:rsidRPr="00B249DE">
                    <w:rPr>
                      <w:rFonts w:ascii="Times New Roman" w:hAnsi="Times New Roman" w:cs="Times New Roman"/>
                      <w:sz w:val="20"/>
                      <w:szCs w:val="20"/>
                    </w:rPr>
                    <w:t>=</w:t>
                  </w:r>
                  <w:r>
                    <w:rPr>
                      <w:rFonts w:ascii="Times New Roman" w:hAnsi="Times New Roman" w:cs="Times New Roman"/>
                      <w:sz w:val="20"/>
                      <w:szCs w:val="20"/>
                    </w:rPr>
                    <w:t xml:space="preserve"> </w:t>
                  </w:r>
                  <w:r w:rsidRPr="00B249DE">
                    <w:rPr>
                      <w:rFonts w:ascii="Times New Roman" w:hAnsi="Times New Roman" w:cs="Times New Roman"/>
                      <w:sz w:val="20"/>
                      <w:szCs w:val="20"/>
                    </w:rPr>
                    <w:t>9).</w:t>
                  </w:r>
                </w:p>
              </w:txbxContent>
            </v:textbox>
          </v:shape>
        </w:pict>
      </w:r>
      <w:r>
        <w:rPr>
          <w:rFonts w:asciiTheme="majorBidi" w:hAnsiTheme="majorBidi" w:cstheme="majorBidi"/>
          <w:noProof/>
          <w:lang w:eastAsia="fr-FR"/>
        </w:rPr>
        <w:pict>
          <v:shape id="_x0000_s2103" type="#_x0000_t202" style="position:absolute;margin-left:10.35pt;margin-top:329.2pt;width:212.25pt;height:190.5pt;z-index:251714560" strokecolor="white [3212]">
            <v:textbox>
              <w:txbxContent>
                <w:p w:rsidR="00310CA5" w:rsidRDefault="00310CA5" w:rsidP="006C66E7">
                  <w:pPr>
                    <w:ind w:firstLine="0"/>
                  </w:pPr>
                  <w:r w:rsidRPr="007A34FE">
                    <w:rPr>
                      <w:noProof/>
                      <w:lang w:eastAsia="fr-FR"/>
                    </w:rPr>
                    <w:drawing>
                      <wp:inline distT="0" distB="0" distL="0" distR="0">
                        <wp:extent cx="2524125" cy="2204085"/>
                        <wp:effectExtent l="38100" t="19050" r="9525" b="5715"/>
                        <wp:docPr id="720" name="Graphique 72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txbxContent>
            </v:textbox>
          </v:shape>
        </w:pict>
      </w:r>
      <w:r>
        <w:rPr>
          <w:rFonts w:asciiTheme="majorBidi" w:hAnsiTheme="majorBidi" w:cstheme="majorBidi"/>
          <w:noProof/>
          <w:lang w:eastAsia="fr-FR"/>
        </w:rPr>
        <w:pict>
          <v:shape id="_x0000_s2104" type="#_x0000_t202" style="position:absolute;margin-left:226.35pt;margin-top:325.45pt;width:204.75pt;height:195pt;z-index:251715584" strokecolor="white [3212]">
            <v:textbox>
              <w:txbxContent>
                <w:p w:rsidR="00310CA5" w:rsidRPr="007A34FE" w:rsidRDefault="00310CA5" w:rsidP="006C66E7">
                  <w:pPr>
                    <w:ind w:firstLine="0"/>
                  </w:pPr>
                  <w:r w:rsidRPr="007A34FE">
                    <w:rPr>
                      <w:noProof/>
                      <w:lang w:eastAsia="fr-FR"/>
                    </w:rPr>
                    <w:drawing>
                      <wp:inline distT="0" distB="0" distL="0" distR="0">
                        <wp:extent cx="2388870" cy="2266950"/>
                        <wp:effectExtent l="57150" t="19050" r="11430" b="0"/>
                        <wp:docPr id="721" name="Graphique 72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inline>
                    </w:drawing>
                  </w:r>
                </w:p>
              </w:txbxContent>
            </v:textbox>
          </v:shape>
        </w:pict>
      </w:r>
      <w:r>
        <w:rPr>
          <w:rFonts w:asciiTheme="majorBidi" w:hAnsiTheme="majorBidi" w:cstheme="majorBidi"/>
          <w:noProof/>
          <w:lang w:eastAsia="fr-FR"/>
        </w:rPr>
        <w:pict>
          <v:shape id="_x0000_s2102" type="#_x0000_t202" style="position:absolute;margin-left:137.1pt;margin-top:137.95pt;width:202.5pt;height:187.5pt;z-index:251713536" strokecolor="white [3212]">
            <v:textbox>
              <w:txbxContent>
                <w:p w:rsidR="00310CA5" w:rsidRPr="007A34FE" w:rsidRDefault="00310CA5" w:rsidP="006C66E7">
                  <w:pPr>
                    <w:ind w:firstLine="0"/>
                  </w:pPr>
                  <w:r w:rsidRPr="007A34FE">
                    <w:rPr>
                      <w:noProof/>
                      <w:lang w:eastAsia="fr-FR"/>
                    </w:rPr>
                    <w:drawing>
                      <wp:inline distT="0" distB="0" distL="0" distR="0">
                        <wp:extent cx="2371725" cy="2209800"/>
                        <wp:effectExtent l="57150" t="19050" r="9525" b="0"/>
                        <wp:docPr id="719" name="Graphique 71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inline>
                    </w:drawing>
                  </w:r>
                </w:p>
              </w:txbxContent>
            </v:textbox>
          </v:shape>
        </w:pict>
      </w:r>
      <w:r w:rsidR="006C66E7">
        <w:rPr>
          <w:rFonts w:asciiTheme="majorBidi" w:hAnsiTheme="majorBidi" w:cstheme="majorBidi"/>
        </w:rPr>
        <w:br w:type="page"/>
      </w:r>
    </w:p>
    <w:p w:rsidR="006C66E7" w:rsidRDefault="006F133D" w:rsidP="006C66E7">
      <w:pPr>
        <w:spacing w:before="0" w:after="0" w:line="276" w:lineRule="auto"/>
        <w:ind w:firstLine="0"/>
        <w:rPr>
          <w:rFonts w:asciiTheme="majorBidi" w:hAnsiTheme="majorBidi" w:cstheme="majorBidi"/>
        </w:rPr>
      </w:pPr>
      <w:r>
        <w:rPr>
          <w:rFonts w:asciiTheme="majorBidi" w:hAnsiTheme="majorBidi" w:cstheme="majorBidi"/>
          <w:noProof/>
          <w:lang w:eastAsia="fr-FR"/>
        </w:rPr>
        <w:lastRenderedPageBreak/>
        <w:pict>
          <v:shape id="_x0000_s2106" type="#_x0000_t202" style="position:absolute;margin-left:-2.4pt;margin-top:-5.15pt;width:441pt;height:684.75pt;z-index:251717632">
            <v:textbox>
              <w:txbxContent>
                <w:p w:rsidR="00310CA5" w:rsidRDefault="00310CA5" w:rsidP="006C66E7"/>
              </w:txbxContent>
            </v:textbox>
          </v:shape>
        </w:pict>
      </w:r>
      <w:r>
        <w:rPr>
          <w:rFonts w:asciiTheme="majorBidi" w:hAnsiTheme="majorBidi" w:cstheme="majorBidi"/>
          <w:noProof/>
          <w:lang w:eastAsia="fr-FR"/>
        </w:rPr>
        <w:pict>
          <v:shape id="_x0000_s2112" type="#_x0000_t202" style="position:absolute;margin-left:8.85pt;margin-top:561.1pt;width:423.75pt;height:114.75pt;z-index:251723776" strokecolor="white [3212]">
            <v:textbox>
              <w:txbxContent>
                <w:p w:rsidR="00310CA5" w:rsidRPr="00852FEC" w:rsidRDefault="00310CA5" w:rsidP="006C66E7">
                  <w:pPr>
                    <w:ind w:left="993" w:hanging="851"/>
                    <w:jc w:val="both"/>
                    <w:rPr>
                      <w:rFonts w:ascii="Times New Roman" w:hAnsi="Times New Roman" w:cs="Times New Roman"/>
                      <w:sz w:val="20"/>
                      <w:szCs w:val="20"/>
                    </w:rPr>
                  </w:pPr>
                  <w:r w:rsidRPr="000201F9">
                    <w:rPr>
                      <w:rFonts w:ascii="Times New Roman" w:hAnsi="Times New Roman" w:cs="Times New Roman"/>
                      <w:b/>
                      <w:bCs/>
                      <w:sz w:val="20"/>
                      <w:szCs w:val="20"/>
                      <w:u w:val="single"/>
                    </w:rPr>
                    <w:t xml:space="preserve">Figure </w:t>
                  </w:r>
                  <w:r>
                    <w:rPr>
                      <w:rFonts w:ascii="Times New Roman" w:hAnsi="Times New Roman" w:cs="Times New Roman"/>
                      <w:b/>
                      <w:bCs/>
                      <w:sz w:val="20"/>
                      <w:szCs w:val="20"/>
                      <w:u w:val="single"/>
                    </w:rPr>
                    <w:t>10</w:t>
                  </w:r>
                  <w:r w:rsidRPr="00852FEC">
                    <w:rPr>
                      <w:rFonts w:ascii="Times New Roman" w:hAnsi="Times New Roman" w:cs="Times New Roman"/>
                      <w:sz w:val="20"/>
                      <w:szCs w:val="20"/>
                    </w:rPr>
                    <w:t xml:space="preserve"> : Cinétique de </w:t>
                  </w:r>
                  <w:r w:rsidRPr="000201F9">
                    <w:rPr>
                      <w:rFonts w:ascii="Times New Roman" w:hAnsi="Times New Roman" w:cs="Times New Roman"/>
                      <w:b/>
                      <w:bCs/>
                      <w:sz w:val="20"/>
                      <w:szCs w:val="20"/>
                    </w:rPr>
                    <w:t>viabilité au cours de l’entreposage à +4°C</w:t>
                  </w:r>
                  <w:r>
                    <w:rPr>
                      <w:rFonts w:ascii="Times New Roman" w:hAnsi="Times New Roman" w:cs="Times New Roman"/>
                      <w:sz w:val="20"/>
                      <w:szCs w:val="20"/>
                    </w:rPr>
                    <w:t xml:space="preserve"> </w:t>
                  </w:r>
                  <w:r w:rsidRPr="00852FEC">
                    <w:rPr>
                      <w:rFonts w:ascii="Times New Roman" w:hAnsi="Times New Roman" w:cs="Times New Roman"/>
                      <w:sz w:val="20"/>
                      <w:szCs w:val="20"/>
                    </w:rPr>
                    <w:t xml:space="preserve">de la souche lactique </w:t>
                  </w:r>
                  <w:r w:rsidRPr="009568CE">
                    <w:rPr>
                      <w:rFonts w:ascii="Times New Roman" w:hAnsi="Times New Roman" w:cs="Times New Roman"/>
                      <w:b/>
                      <w:bCs/>
                      <w:i/>
                      <w:iCs/>
                      <w:sz w:val="20"/>
                      <w:szCs w:val="20"/>
                    </w:rPr>
                    <w:t>Streptococcus thermophilus</w:t>
                  </w:r>
                  <w:r w:rsidRPr="00852FEC">
                    <w:rPr>
                      <w:rFonts w:ascii="Times New Roman" w:hAnsi="Times New Roman" w:cs="Times New Roman"/>
                      <w:sz w:val="20"/>
                      <w:szCs w:val="20"/>
                    </w:rPr>
                    <w:t xml:space="preserve"> STB01 dans</w:t>
                  </w:r>
                  <w:r>
                    <w:rPr>
                      <w:rFonts w:ascii="Times New Roman" w:hAnsi="Times New Roman" w:cs="Times New Roman"/>
                      <w:sz w:val="20"/>
                      <w:szCs w:val="20"/>
                    </w:rPr>
                    <w:t xml:space="preserve"> le</w:t>
                  </w:r>
                  <w:r w:rsidRPr="00852FEC">
                    <w:rPr>
                      <w:rFonts w:ascii="Times New Roman" w:hAnsi="Times New Roman" w:cs="Times New Roman"/>
                      <w:sz w:val="20"/>
                      <w:szCs w:val="20"/>
                    </w:rPr>
                    <w:t xml:space="preserve"> lait fermenté à 37°C en culture mixte avec une souche </w:t>
                  </w:r>
                  <w:r>
                    <w:rPr>
                      <w:rFonts w:ascii="Times New Roman" w:hAnsi="Times New Roman" w:cs="Times New Roman"/>
                      <w:sz w:val="20"/>
                      <w:szCs w:val="20"/>
                    </w:rPr>
                    <w:t>bénéf</w:t>
                  </w:r>
                  <w:r w:rsidRPr="00852FEC">
                    <w:rPr>
                      <w:rFonts w:ascii="Times New Roman" w:hAnsi="Times New Roman" w:cs="Times New Roman"/>
                      <w:sz w:val="20"/>
                      <w:szCs w:val="20"/>
                    </w:rPr>
                    <w:t>ique BLR </w:t>
                  </w:r>
                  <w:r w:rsidRPr="00852FEC">
                    <w:rPr>
                      <w:rFonts w:ascii="Times New Roman" w:hAnsi="Times New Roman" w:cs="Times New Roman"/>
                      <w:b/>
                      <w:bCs/>
                      <w:sz w:val="20"/>
                      <w:szCs w:val="20"/>
                    </w:rPr>
                    <w:t>(A)</w:t>
                  </w:r>
                  <w:r w:rsidRPr="00852FEC">
                    <w:rPr>
                      <w:rFonts w:ascii="Times New Roman" w:hAnsi="Times New Roman" w:cs="Times New Roman"/>
                      <w:sz w:val="20"/>
                      <w:szCs w:val="20"/>
                    </w:rPr>
                    <w:t>; LbRE</w:t>
                  </w:r>
                  <w:r>
                    <w:rPr>
                      <w:rFonts w:ascii="Times New Roman" w:hAnsi="Times New Roman" w:cs="Times New Roman"/>
                      <w:sz w:val="20"/>
                      <w:szCs w:val="20"/>
                    </w:rPr>
                    <w:t>-</w:t>
                  </w:r>
                  <w:r w:rsidRPr="00852FEC">
                    <w:rPr>
                      <w:rFonts w:ascii="Times New Roman" w:hAnsi="Times New Roman" w:cs="Times New Roman"/>
                      <w:sz w:val="20"/>
                      <w:szCs w:val="20"/>
                    </w:rPr>
                    <w:t>LSAS </w:t>
                  </w:r>
                  <w:r w:rsidRPr="00852FEC">
                    <w:rPr>
                      <w:rFonts w:ascii="Times New Roman" w:hAnsi="Times New Roman" w:cs="Times New Roman"/>
                      <w:b/>
                      <w:bCs/>
                      <w:sz w:val="20"/>
                      <w:szCs w:val="20"/>
                    </w:rPr>
                    <w:t>(B)</w:t>
                  </w:r>
                  <w:r w:rsidRPr="00852FEC">
                    <w:rPr>
                      <w:rFonts w:ascii="Times New Roman" w:hAnsi="Times New Roman" w:cs="Times New Roman"/>
                      <w:sz w:val="20"/>
                      <w:szCs w:val="20"/>
                    </w:rPr>
                    <w:t>; Bb12 </w:t>
                  </w:r>
                  <w:r w:rsidRPr="00852FEC">
                    <w:rPr>
                      <w:rFonts w:ascii="Times New Roman" w:hAnsi="Times New Roman" w:cs="Times New Roman"/>
                      <w:b/>
                      <w:bCs/>
                      <w:sz w:val="20"/>
                      <w:szCs w:val="20"/>
                    </w:rPr>
                    <w:t>(C)</w:t>
                  </w:r>
                  <w:r w:rsidRPr="00852FEC">
                    <w:rPr>
                      <w:rFonts w:ascii="Times New Roman" w:hAnsi="Times New Roman" w:cs="Times New Roman"/>
                      <w:sz w:val="20"/>
                      <w:szCs w:val="20"/>
                    </w:rPr>
                    <w:t xml:space="preserve">; </w:t>
                  </w:r>
                  <w:r>
                    <w:rPr>
                      <w:rFonts w:ascii="Times New Roman" w:hAnsi="Times New Roman" w:cs="Times New Roman"/>
                      <w:sz w:val="20"/>
                      <w:szCs w:val="20"/>
                    </w:rPr>
                    <w:t xml:space="preserve">Lba </w:t>
                  </w:r>
                  <w:r w:rsidRPr="00852FEC">
                    <w:rPr>
                      <w:rFonts w:ascii="Times New Roman" w:hAnsi="Times New Roman" w:cs="Times New Roman"/>
                      <w:sz w:val="20"/>
                      <w:szCs w:val="20"/>
                    </w:rPr>
                    <w:t xml:space="preserve">CECT4529 </w:t>
                  </w:r>
                  <w:r w:rsidRPr="00852FEC">
                    <w:rPr>
                      <w:rFonts w:ascii="Times New Roman" w:hAnsi="Times New Roman" w:cs="Times New Roman"/>
                      <w:b/>
                      <w:bCs/>
                      <w:sz w:val="20"/>
                      <w:szCs w:val="20"/>
                    </w:rPr>
                    <w:t>(D)</w:t>
                  </w:r>
                  <w:r w:rsidRPr="00852FEC">
                    <w:rPr>
                      <w:rFonts w:ascii="Times New Roman" w:hAnsi="Times New Roman" w:cs="Times New Roman"/>
                      <w:sz w:val="20"/>
                      <w:szCs w:val="20"/>
                    </w:rPr>
                    <w:t xml:space="preserve"> </w:t>
                  </w:r>
                  <w:r>
                    <w:rPr>
                      <w:rFonts w:ascii="Times New Roman" w:hAnsi="Times New Roman" w:cs="Times New Roman"/>
                      <w:sz w:val="20"/>
                      <w:szCs w:val="20"/>
                    </w:rPr>
                    <w:t>ou</w:t>
                  </w:r>
                  <w:r w:rsidRPr="00852FEC">
                    <w:rPr>
                      <w:rFonts w:ascii="Times New Roman" w:hAnsi="Times New Roman" w:cs="Times New Roman"/>
                      <w:sz w:val="20"/>
                      <w:szCs w:val="20"/>
                    </w:rPr>
                    <w:t xml:space="preserve"> </w:t>
                  </w:r>
                  <w:r>
                    <w:rPr>
                      <w:rFonts w:ascii="Times New Roman" w:hAnsi="Times New Roman" w:cs="Times New Roman"/>
                      <w:sz w:val="20"/>
                      <w:szCs w:val="20"/>
                    </w:rPr>
                    <w:t>Lbp CECT</w:t>
                  </w:r>
                  <w:r w:rsidRPr="00852FEC">
                    <w:rPr>
                      <w:rFonts w:ascii="Times New Roman" w:hAnsi="Times New Roman" w:cs="Times New Roman"/>
                      <w:sz w:val="20"/>
                      <w:szCs w:val="20"/>
                    </w:rPr>
                    <w:t xml:space="preserve">748 </w:t>
                  </w:r>
                  <w:r w:rsidRPr="00852FEC">
                    <w:rPr>
                      <w:rFonts w:ascii="Times New Roman" w:hAnsi="Times New Roman" w:cs="Times New Roman"/>
                      <w:b/>
                      <w:bCs/>
                      <w:sz w:val="20"/>
                      <w:szCs w:val="20"/>
                    </w:rPr>
                    <w:t>(E)</w:t>
                  </w:r>
                  <w:r w:rsidRPr="00852FEC">
                    <w:rPr>
                      <w:rFonts w:ascii="Times New Roman" w:hAnsi="Times New Roman" w:cs="Times New Roman"/>
                      <w:sz w:val="20"/>
                      <w:szCs w:val="20"/>
                    </w:rPr>
                    <w:t xml:space="preserve">. </w:t>
                  </w:r>
                  <w:r w:rsidRPr="003468B2">
                    <w:rPr>
                      <w:rFonts w:ascii="Times New Roman" w:hAnsi="Times New Roman" w:cs="Times New Roman"/>
                      <w:sz w:val="20"/>
                      <w:szCs w:val="20"/>
                    </w:rPr>
                    <w:t>Cultures mixtes témoin (</w:t>
                  </w:r>
                  <w:r w:rsidRPr="00C44983">
                    <w:rPr>
                      <w:rFonts w:ascii="Times New Roman" w:hAnsi="Times New Roman" w:cs="Times New Roman"/>
                      <w:noProof/>
                      <w:color w:val="0070C0"/>
                      <w:sz w:val="20"/>
                      <w:szCs w:val="20"/>
                      <w:lang w:eastAsia="fr-FR"/>
                    </w:rPr>
                    <w:t>■</w:t>
                  </w:r>
                  <w:r w:rsidRPr="003468B2">
                    <w:rPr>
                      <w:rFonts w:ascii="Times New Roman" w:hAnsi="Times New Roman" w:cs="Times New Roman"/>
                      <w:sz w:val="20"/>
                      <w:szCs w:val="20"/>
                    </w:rPr>
                    <w:t xml:space="preserve">), cultures mixtes additionnées de 0,53% </w:t>
                  </w:r>
                  <w:r>
                    <w:rPr>
                      <w:rFonts w:ascii="Times New Roman" w:hAnsi="Times New Roman" w:cs="Times New Roman"/>
                      <w:sz w:val="20"/>
                      <w:szCs w:val="20"/>
                    </w:rPr>
                    <w:t xml:space="preserve">(P/V) : </w:t>
                  </w:r>
                  <w:r w:rsidRPr="003468B2">
                    <w:rPr>
                      <w:rFonts w:ascii="Times New Roman" w:hAnsi="Times New Roman" w:cs="Times New Roman"/>
                      <w:sz w:val="20"/>
                      <w:szCs w:val="20"/>
                    </w:rPr>
                    <w:t>de lactosérum doux (</w:t>
                  </w:r>
                  <w:r w:rsidRPr="007A6C8B">
                    <w:rPr>
                      <w:rFonts w:ascii="Times New Roman" w:hAnsi="Times New Roman" w:cs="Times New Roman"/>
                      <w:color w:val="FF9900"/>
                      <w:sz w:val="20"/>
                      <w:szCs w:val="20"/>
                    </w:rPr>
                    <w:t>■</w:t>
                  </w:r>
                  <w:r w:rsidRPr="003468B2">
                    <w:rPr>
                      <w:rFonts w:ascii="Times New Roman" w:hAnsi="Times New Roman" w:cs="Times New Roman"/>
                      <w:sz w:val="20"/>
                      <w:szCs w:val="20"/>
                    </w:rPr>
                    <w:t>), de Promilk 852A2 (</w:t>
                  </w:r>
                  <w:r w:rsidRPr="00C44983">
                    <w:rPr>
                      <w:rFonts w:ascii="Times New Roman" w:hAnsi="Times New Roman" w:cs="Times New Roman"/>
                      <w:color w:val="92D050"/>
                      <w:sz w:val="20"/>
                      <w:szCs w:val="20"/>
                    </w:rPr>
                    <w:t>■</w:t>
                  </w:r>
                  <w:r w:rsidRPr="003468B2">
                    <w:rPr>
                      <w:rFonts w:ascii="Times New Roman" w:hAnsi="Times New Roman" w:cs="Times New Roman"/>
                      <w:sz w:val="20"/>
                      <w:szCs w:val="20"/>
                    </w:rPr>
                    <w:t>),</w:t>
                  </w:r>
                  <w:r>
                    <w:rPr>
                      <w:rFonts w:ascii="Times New Roman" w:hAnsi="Times New Roman" w:cs="Times New Roman"/>
                      <w:sz w:val="20"/>
                      <w:szCs w:val="20"/>
                    </w:rPr>
                    <w:t xml:space="preserve"> </w:t>
                  </w:r>
                  <w:r w:rsidRPr="003468B2">
                    <w:rPr>
                      <w:rFonts w:ascii="Times New Roman" w:hAnsi="Times New Roman" w:cs="Times New Roman"/>
                      <w:sz w:val="20"/>
                      <w:szCs w:val="20"/>
                    </w:rPr>
                    <w:t>de Promilk C502 (</w:t>
                  </w:r>
                  <w:r w:rsidRPr="00C44983">
                    <w:rPr>
                      <w:rFonts w:ascii="Times New Roman" w:hAnsi="Times New Roman" w:cs="Times New Roman"/>
                      <w:color w:val="FF33CC"/>
                      <w:sz w:val="20"/>
                      <w:szCs w:val="20"/>
                    </w:rPr>
                    <w:t>■</w:t>
                  </w:r>
                  <w:r w:rsidRPr="003468B2">
                    <w:rPr>
                      <w:rFonts w:ascii="Times New Roman" w:hAnsi="Times New Roman" w:cs="Times New Roman"/>
                      <w:sz w:val="20"/>
                      <w:szCs w:val="20"/>
                    </w:rPr>
                    <w:t>)</w:t>
                  </w:r>
                  <w:r>
                    <w:rPr>
                      <w:rFonts w:ascii="Times New Roman" w:hAnsi="Times New Roman" w:cs="Times New Roman"/>
                      <w:sz w:val="20"/>
                      <w:szCs w:val="20"/>
                    </w:rPr>
                    <w:t xml:space="preserve"> ou </w:t>
                  </w:r>
                  <w:r w:rsidRPr="003468B2">
                    <w:rPr>
                      <w:rFonts w:ascii="Times New Roman" w:hAnsi="Times New Roman" w:cs="Times New Roman"/>
                      <w:sz w:val="20"/>
                      <w:szCs w:val="20"/>
                    </w:rPr>
                    <w:t>d’hydrolysat de caséine (</w:t>
                  </w:r>
                  <w:r w:rsidRPr="00C44983">
                    <w:rPr>
                      <w:rFonts w:ascii="Times New Roman" w:hAnsi="Times New Roman" w:cs="Times New Roman"/>
                      <w:color w:val="990099"/>
                      <w:sz w:val="20"/>
                      <w:szCs w:val="20"/>
                    </w:rPr>
                    <w:t>■</w:t>
                  </w:r>
                  <w:r>
                    <w:rPr>
                      <w:rFonts w:ascii="Times New Roman" w:hAnsi="Times New Roman" w:cs="Times New Roman"/>
                      <w:sz w:val="20"/>
                      <w:szCs w:val="20"/>
                    </w:rPr>
                    <w:t>)</w:t>
                  </w:r>
                  <w:r w:rsidRPr="00852FEC">
                    <w:rPr>
                      <w:rFonts w:ascii="Times New Roman" w:hAnsi="Times New Roman" w:cs="Times New Roman"/>
                      <w:sz w:val="20"/>
                      <w:szCs w:val="20"/>
                    </w:rPr>
                    <w:t>. Dans toutes les cultures mixtes, l’inoculum est à une concentration finale de 10</w:t>
                  </w:r>
                  <w:r w:rsidRPr="00852FEC">
                    <w:rPr>
                      <w:rFonts w:ascii="Times New Roman" w:hAnsi="Times New Roman" w:cs="Times New Roman"/>
                      <w:sz w:val="20"/>
                      <w:szCs w:val="20"/>
                      <w:vertAlign w:val="superscript"/>
                    </w:rPr>
                    <w:t>6</w:t>
                  </w:r>
                  <w:r w:rsidRPr="00852FEC">
                    <w:rPr>
                      <w:rFonts w:ascii="Times New Roman" w:hAnsi="Times New Roman" w:cs="Times New Roman"/>
                      <w:sz w:val="20"/>
                      <w:szCs w:val="20"/>
                    </w:rPr>
                    <w:t xml:space="preserve"> UFC/ml et utilisé à 1% (1 :1). Les valeurs représentent la moyenne (m) de 9 déterminations ±S</w:t>
                  </w:r>
                  <w:r>
                    <w:rPr>
                      <w:rFonts w:ascii="Times New Roman" w:hAnsi="Times New Roman" w:cs="Times New Roman"/>
                      <w:sz w:val="20"/>
                      <w:szCs w:val="20"/>
                    </w:rPr>
                    <w:t>EM</w:t>
                  </w:r>
                  <w:r w:rsidRPr="00852FEC">
                    <w:rPr>
                      <w:rFonts w:ascii="Times New Roman" w:hAnsi="Times New Roman" w:cs="Times New Roman"/>
                      <w:sz w:val="20"/>
                      <w:szCs w:val="20"/>
                    </w:rPr>
                    <w:t xml:space="preserve"> (n</w:t>
                  </w:r>
                  <w:r>
                    <w:rPr>
                      <w:rFonts w:ascii="Times New Roman" w:hAnsi="Times New Roman" w:cs="Times New Roman"/>
                      <w:sz w:val="20"/>
                      <w:szCs w:val="20"/>
                    </w:rPr>
                    <w:t xml:space="preserve"> </w:t>
                  </w:r>
                  <w:r w:rsidRPr="00852FEC">
                    <w:rPr>
                      <w:rFonts w:ascii="Times New Roman" w:hAnsi="Times New Roman" w:cs="Times New Roman"/>
                      <w:sz w:val="20"/>
                      <w:szCs w:val="20"/>
                    </w:rPr>
                    <w:t>=</w:t>
                  </w:r>
                  <w:r>
                    <w:rPr>
                      <w:rFonts w:ascii="Times New Roman" w:hAnsi="Times New Roman" w:cs="Times New Roman"/>
                      <w:sz w:val="20"/>
                      <w:szCs w:val="20"/>
                    </w:rPr>
                    <w:t xml:space="preserve"> </w:t>
                  </w:r>
                  <w:r w:rsidRPr="00852FEC">
                    <w:rPr>
                      <w:rFonts w:ascii="Times New Roman" w:hAnsi="Times New Roman" w:cs="Times New Roman"/>
                      <w:sz w:val="20"/>
                      <w:szCs w:val="20"/>
                    </w:rPr>
                    <w:t>9).</w:t>
                  </w:r>
                </w:p>
                <w:p w:rsidR="00310CA5" w:rsidRPr="007A34FE" w:rsidRDefault="00310CA5" w:rsidP="006C66E7"/>
              </w:txbxContent>
            </v:textbox>
          </v:shape>
        </w:pict>
      </w:r>
      <w:r>
        <w:rPr>
          <w:rFonts w:asciiTheme="majorBidi" w:hAnsiTheme="majorBidi" w:cstheme="majorBidi"/>
          <w:noProof/>
          <w:lang w:eastAsia="fr-FR"/>
        </w:rPr>
        <w:pict>
          <v:shape id="_x0000_s2111" type="#_x0000_t202" style="position:absolute;margin-left:220.35pt;margin-top:377.35pt;width:207pt;height:183.75pt;z-index:251722752" strokecolor="white [3212]">
            <v:textbox>
              <w:txbxContent>
                <w:p w:rsidR="00310CA5" w:rsidRPr="007A34FE" w:rsidRDefault="00310CA5" w:rsidP="006C66E7">
                  <w:pPr>
                    <w:ind w:firstLine="0"/>
                  </w:pPr>
                  <w:r w:rsidRPr="007A34FE">
                    <w:rPr>
                      <w:noProof/>
                      <w:lang w:eastAsia="fr-FR"/>
                    </w:rPr>
                    <w:drawing>
                      <wp:inline distT="0" distB="0" distL="0" distR="0">
                        <wp:extent cx="2381250" cy="2152650"/>
                        <wp:effectExtent l="38100" t="19050" r="19050" b="0"/>
                        <wp:docPr id="729" name="Graphique 72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7"/>
                          </a:graphicData>
                        </a:graphic>
                      </wp:inline>
                    </w:drawing>
                  </w:r>
                </w:p>
              </w:txbxContent>
            </v:textbox>
          </v:shape>
        </w:pict>
      </w:r>
      <w:r>
        <w:rPr>
          <w:rFonts w:asciiTheme="majorBidi" w:hAnsiTheme="majorBidi" w:cstheme="majorBidi"/>
          <w:noProof/>
          <w:lang w:eastAsia="fr-FR"/>
        </w:rPr>
        <w:pict>
          <v:shape id="_x0000_s2110" type="#_x0000_t202" style="position:absolute;margin-left:3.6pt;margin-top:377.35pt;width:209.25pt;height:183.75pt;z-index:251721728" strokecolor="white [3212]">
            <v:textbox>
              <w:txbxContent>
                <w:p w:rsidR="00310CA5" w:rsidRDefault="00310CA5" w:rsidP="006C66E7">
                  <w:pPr>
                    <w:ind w:firstLine="0"/>
                  </w:pPr>
                  <w:r w:rsidRPr="007A34FE">
                    <w:rPr>
                      <w:noProof/>
                      <w:lang w:eastAsia="fr-FR"/>
                    </w:rPr>
                    <w:drawing>
                      <wp:inline distT="0" distB="0" distL="0" distR="0">
                        <wp:extent cx="2522220" cy="2152650"/>
                        <wp:effectExtent l="57150" t="19050" r="11430" b="0"/>
                        <wp:docPr id="728" name="Graphique 72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8"/>
                          </a:graphicData>
                        </a:graphic>
                      </wp:inline>
                    </w:drawing>
                  </w:r>
                </w:p>
              </w:txbxContent>
            </v:textbox>
          </v:shape>
        </w:pict>
      </w:r>
      <w:r>
        <w:rPr>
          <w:rFonts w:asciiTheme="majorBidi" w:hAnsiTheme="majorBidi" w:cstheme="majorBidi"/>
          <w:noProof/>
          <w:lang w:eastAsia="fr-FR"/>
        </w:rPr>
        <w:pict>
          <v:shape id="_x0000_s2109" type="#_x0000_t202" style="position:absolute;margin-left:119.1pt;margin-top:186.85pt;width:221.25pt;height:197.25pt;z-index:251720704" strokecolor="white [3212]">
            <v:textbox>
              <w:txbxContent>
                <w:p w:rsidR="00310CA5" w:rsidRDefault="00310CA5" w:rsidP="006C66E7">
                  <w:pPr>
                    <w:ind w:firstLine="0"/>
                  </w:pPr>
                  <w:r w:rsidRPr="007A34FE">
                    <w:rPr>
                      <w:noProof/>
                      <w:lang w:eastAsia="fr-FR"/>
                    </w:rPr>
                    <w:drawing>
                      <wp:inline distT="0" distB="0" distL="0" distR="0">
                        <wp:extent cx="2617470" cy="2305050"/>
                        <wp:effectExtent l="38100" t="0" r="11430" b="0"/>
                        <wp:docPr id="725" name="Graphique 72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49"/>
                          </a:graphicData>
                        </a:graphic>
                      </wp:inline>
                    </w:drawing>
                  </w:r>
                </w:p>
              </w:txbxContent>
            </v:textbox>
          </v:shape>
        </w:pict>
      </w:r>
      <w:r>
        <w:rPr>
          <w:rFonts w:asciiTheme="majorBidi" w:hAnsiTheme="majorBidi" w:cstheme="majorBidi"/>
          <w:noProof/>
          <w:lang w:eastAsia="fr-FR"/>
        </w:rPr>
        <w:pict>
          <v:shape id="_x0000_s2108" type="#_x0000_t202" style="position:absolute;margin-left:227.85pt;margin-top:9.1pt;width:204.75pt;height:177.75pt;z-index:251719680" strokecolor="white [3212]">
            <v:textbox>
              <w:txbxContent>
                <w:p w:rsidR="00310CA5" w:rsidRDefault="00310CA5" w:rsidP="006C66E7">
                  <w:pPr>
                    <w:ind w:firstLine="0"/>
                  </w:pPr>
                  <w:r w:rsidRPr="007A34FE">
                    <w:rPr>
                      <w:noProof/>
                      <w:lang w:eastAsia="fr-FR"/>
                    </w:rPr>
                    <w:drawing>
                      <wp:inline distT="0" distB="0" distL="0" distR="0">
                        <wp:extent cx="2407920" cy="2085975"/>
                        <wp:effectExtent l="57150" t="0" r="11430" b="0"/>
                        <wp:docPr id="724" name="Graphique 72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p>
              </w:txbxContent>
            </v:textbox>
          </v:shape>
        </w:pict>
      </w:r>
      <w:r>
        <w:rPr>
          <w:rFonts w:asciiTheme="majorBidi" w:hAnsiTheme="majorBidi" w:cstheme="majorBidi"/>
          <w:noProof/>
          <w:lang w:eastAsia="fr-FR"/>
        </w:rPr>
        <w:pict>
          <v:shape id="_x0000_s2107" type="#_x0000_t202" style="position:absolute;margin-left:3.6pt;margin-top:9.1pt;width:209.25pt;height:177.75pt;z-index:251718656" strokecolor="white [3212]">
            <v:textbox>
              <w:txbxContent>
                <w:p w:rsidR="00310CA5" w:rsidRDefault="00310CA5" w:rsidP="006C66E7">
                  <w:pPr>
                    <w:ind w:firstLine="0"/>
                  </w:pPr>
                  <w:r w:rsidRPr="007A34FE">
                    <w:rPr>
                      <w:noProof/>
                      <w:lang w:eastAsia="fr-FR"/>
                    </w:rPr>
                    <w:drawing>
                      <wp:inline distT="0" distB="0" distL="0" distR="0">
                        <wp:extent cx="2465070" cy="2066925"/>
                        <wp:effectExtent l="57150" t="19050" r="11430" b="0"/>
                        <wp:docPr id="722" name="Graphique 72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51"/>
                          </a:graphicData>
                        </a:graphic>
                      </wp:inline>
                    </w:drawing>
                  </w:r>
                </w:p>
              </w:txbxContent>
            </v:textbox>
          </v:shape>
        </w:pict>
      </w:r>
      <w:r w:rsidR="006C66E7">
        <w:rPr>
          <w:rFonts w:asciiTheme="majorBidi" w:hAnsiTheme="majorBidi" w:cstheme="majorBidi"/>
        </w:rPr>
        <w:br w:type="page"/>
      </w:r>
    </w:p>
    <w:p w:rsidR="006C66E7" w:rsidRPr="0067253E"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lastRenderedPageBreak/>
        <w:t xml:space="preserve">En présence de Promilk 852A2, les pertes en biomasse des souches bénéfiques enregistrées </w:t>
      </w:r>
      <w:r>
        <w:rPr>
          <w:rFonts w:asciiTheme="majorBidi" w:hAnsiTheme="majorBidi" w:cstheme="majorBidi"/>
        </w:rPr>
        <w:t>au</w:t>
      </w:r>
      <w:r w:rsidRPr="0067253E">
        <w:rPr>
          <w:rFonts w:asciiTheme="majorBidi" w:hAnsiTheme="majorBidi" w:cstheme="majorBidi"/>
        </w:rPr>
        <w:t xml:space="preserve"> 7</w:t>
      </w:r>
      <w:r w:rsidRPr="0067253E">
        <w:rPr>
          <w:rFonts w:asciiTheme="majorBidi" w:hAnsiTheme="majorBidi" w:cstheme="majorBidi"/>
          <w:vertAlign w:val="superscript"/>
        </w:rPr>
        <w:t>ème</w:t>
      </w:r>
      <w:r w:rsidRPr="0067253E">
        <w:rPr>
          <w:rFonts w:asciiTheme="majorBidi" w:hAnsiTheme="majorBidi" w:cstheme="majorBidi"/>
        </w:rPr>
        <w:t xml:space="preserve"> jour d’entreposage sont comprises entre 9.01 </w:t>
      </w:r>
      <w:r>
        <w:rPr>
          <w:rFonts w:asciiTheme="majorBidi" w:hAnsiTheme="majorBidi" w:cstheme="majorBidi"/>
        </w:rPr>
        <w:t>et</w:t>
      </w:r>
      <w:r w:rsidRPr="0067253E">
        <w:rPr>
          <w:rFonts w:asciiTheme="majorBidi" w:hAnsiTheme="majorBidi" w:cstheme="majorBidi"/>
        </w:rPr>
        <w:t xml:space="preserve"> 15.5%</w:t>
      </w:r>
      <w:r>
        <w:rPr>
          <w:rFonts w:asciiTheme="majorBidi" w:hAnsiTheme="majorBidi" w:cstheme="majorBidi"/>
        </w:rPr>
        <w:t xml:space="preserve"> ; alors </w:t>
      </w:r>
      <w:r w:rsidRPr="0067253E">
        <w:rPr>
          <w:rFonts w:asciiTheme="majorBidi" w:hAnsiTheme="majorBidi" w:cstheme="majorBidi"/>
        </w:rPr>
        <w:t>qu’</w:t>
      </w:r>
      <w:r>
        <w:rPr>
          <w:rFonts w:asciiTheme="majorBidi" w:hAnsiTheme="majorBidi" w:cstheme="majorBidi"/>
        </w:rPr>
        <w:t>à la</w:t>
      </w:r>
      <w:r w:rsidRPr="0067253E">
        <w:rPr>
          <w:rFonts w:asciiTheme="majorBidi" w:hAnsiTheme="majorBidi" w:cstheme="majorBidi"/>
        </w:rPr>
        <w:t xml:space="preserve"> fin de la période d’entreposage, </w:t>
      </w:r>
      <w:r>
        <w:rPr>
          <w:rFonts w:asciiTheme="majorBidi" w:hAnsiTheme="majorBidi" w:cstheme="majorBidi"/>
        </w:rPr>
        <w:t>elles se situent</w:t>
      </w:r>
      <w:r w:rsidRPr="0067253E">
        <w:rPr>
          <w:rFonts w:asciiTheme="majorBidi" w:hAnsiTheme="majorBidi" w:cstheme="majorBidi"/>
        </w:rPr>
        <w:t xml:space="preserve"> entre 22.27 </w:t>
      </w:r>
      <w:r>
        <w:rPr>
          <w:rFonts w:asciiTheme="majorBidi" w:hAnsiTheme="majorBidi" w:cstheme="majorBidi"/>
        </w:rPr>
        <w:t xml:space="preserve">et 29.79% et se trouvent donc réduite de </w:t>
      </w:r>
      <w:r w:rsidRPr="0067253E">
        <w:rPr>
          <w:rFonts w:asciiTheme="majorBidi" w:hAnsiTheme="majorBidi" w:cstheme="majorBidi"/>
        </w:rPr>
        <w:t xml:space="preserve">1.7 à 17.24% par rapport au témoin. </w:t>
      </w: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La souche LbRE-LSAS </w:t>
      </w:r>
      <w:r>
        <w:rPr>
          <w:rFonts w:asciiTheme="majorBidi" w:hAnsiTheme="majorBidi" w:cstheme="majorBidi"/>
        </w:rPr>
        <w:t>au</w:t>
      </w:r>
      <w:r w:rsidRPr="0067253E">
        <w:rPr>
          <w:rFonts w:asciiTheme="majorBidi" w:hAnsiTheme="majorBidi" w:cstheme="majorBidi"/>
        </w:rPr>
        <w:t xml:space="preserve"> 7</w:t>
      </w:r>
      <w:r w:rsidRPr="0067253E">
        <w:rPr>
          <w:rFonts w:asciiTheme="majorBidi" w:hAnsiTheme="majorBidi" w:cstheme="majorBidi"/>
          <w:vertAlign w:val="superscript"/>
        </w:rPr>
        <w:t>ème</w:t>
      </w:r>
      <w:r w:rsidRPr="0067253E">
        <w:rPr>
          <w:rFonts w:asciiTheme="majorBidi" w:hAnsiTheme="majorBidi" w:cstheme="majorBidi"/>
        </w:rPr>
        <w:t xml:space="preserve"> et 14</w:t>
      </w:r>
      <w:r w:rsidRPr="0067253E">
        <w:rPr>
          <w:rFonts w:asciiTheme="majorBidi" w:hAnsiTheme="majorBidi" w:cstheme="majorBidi"/>
          <w:vertAlign w:val="superscript"/>
        </w:rPr>
        <w:t>ème</w:t>
      </w:r>
      <w:r w:rsidRPr="0067253E">
        <w:rPr>
          <w:rFonts w:asciiTheme="majorBidi" w:hAnsiTheme="majorBidi" w:cstheme="majorBidi"/>
        </w:rPr>
        <w:t xml:space="preserve"> </w:t>
      </w:r>
      <w:r>
        <w:rPr>
          <w:rFonts w:asciiTheme="majorBidi" w:hAnsiTheme="majorBidi" w:cstheme="majorBidi"/>
        </w:rPr>
        <w:t xml:space="preserve">jour d’entreposage réfrigéré </w:t>
      </w:r>
      <w:r w:rsidRPr="0067253E">
        <w:rPr>
          <w:rFonts w:asciiTheme="majorBidi" w:hAnsiTheme="majorBidi" w:cstheme="majorBidi"/>
        </w:rPr>
        <w:t>a révélé une régression de 0.15 et 0.25 logUFC/ml, avec 0.9 à 3.92% de diminution, respectivement.</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Pr>
          <w:rFonts w:asciiTheme="majorBidi" w:hAnsiTheme="majorBidi" w:cstheme="majorBidi"/>
        </w:rPr>
        <w:t>En revanche</w:t>
      </w:r>
      <w:r w:rsidRPr="0067253E">
        <w:rPr>
          <w:rFonts w:asciiTheme="majorBidi" w:hAnsiTheme="majorBidi" w:cstheme="majorBidi"/>
        </w:rPr>
        <w:t>, l’ingrédient Promilk C502 a m</w:t>
      </w:r>
      <w:r>
        <w:rPr>
          <w:rFonts w:asciiTheme="majorBidi" w:hAnsiTheme="majorBidi" w:cstheme="majorBidi"/>
        </w:rPr>
        <w:t xml:space="preserve">ieux amélioré la </w:t>
      </w:r>
      <w:r w:rsidRPr="0067253E">
        <w:rPr>
          <w:rFonts w:asciiTheme="majorBidi" w:hAnsiTheme="majorBidi" w:cstheme="majorBidi"/>
        </w:rPr>
        <w:t xml:space="preserve">survie des souches bénéfiques (P&lt;0.05) dans le lait fermenté durant la période d’entrepose. </w:t>
      </w:r>
      <w:r>
        <w:rPr>
          <w:rFonts w:asciiTheme="majorBidi" w:hAnsiTheme="majorBidi" w:cstheme="majorBidi"/>
        </w:rPr>
        <w:t>Au</w:t>
      </w:r>
      <w:r w:rsidRPr="0067253E">
        <w:rPr>
          <w:rFonts w:asciiTheme="majorBidi" w:hAnsiTheme="majorBidi" w:cstheme="majorBidi"/>
        </w:rPr>
        <w:t xml:space="preserve"> 7</w:t>
      </w:r>
      <w:r w:rsidRPr="0067253E">
        <w:rPr>
          <w:rFonts w:asciiTheme="majorBidi" w:hAnsiTheme="majorBidi" w:cstheme="majorBidi"/>
          <w:vertAlign w:val="superscript"/>
        </w:rPr>
        <w:t>ème</w:t>
      </w:r>
      <w:r w:rsidRPr="0067253E">
        <w:rPr>
          <w:rFonts w:asciiTheme="majorBidi" w:hAnsiTheme="majorBidi" w:cstheme="majorBidi"/>
        </w:rPr>
        <w:t xml:space="preserve"> jour, la viabilité est de 90.55 à 99.22% avec une amélioration de 3.98 à 16.15% par rapport au témoin, alors qu’</w:t>
      </w:r>
      <w:r>
        <w:rPr>
          <w:rFonts w:asciiTheme="majorBidi" w:hAnsiTheme="majorBidi" w:cstheme="majorBidi"/>
        </w:rPr>
        <w:t>au</w:t>
      </w:r>
      <w:r w:rsidRPr="0067253E">
        <w:rPr>
          <w:rFonts w:asciiTheme="majorBidi" w:hAnsiTheme="majorBidi" w:cstheme="majorBidi"/>
        </w:rPr>
        <w:t xml:space="preserve"> 28</w:t>
      </w:r>
      <w:r w:rsidRPr="0067253E">
        <w:rPr>
          <w:rFonts w:asciiTheme="majorBidi" w:hAnsiTheme="majorBidi" w:cstheme="majorBidi"/>
          <w:vertAlign w:val="superscript"/>
        </w:rPr>
        <w:t>ème</w:t>
      </w:r>
      <w:r>
        <w:rPr>
          <w:rFonts w:asciiTheme="majorBidi" w:hAnsiTheme="majorBidi" w:cstheme="majorBidi"/>
        </w:rPr>
        <w:t xml:space="preserve"> jour, cette </w:t>
      </w:r>
      <w:r w:rsidRPr="0067253E">
        <w:rPr>
          <w:rFonts w:asciiTheme="majorBidi" w:hAnsiTheme="majorBidi" w:cstheme="majorBidi"/>
        </w:rPr>
        <w:t>amélioration est de  13.24 à 46.46% et une augmentation 0.93 à 2.83 logUFC/ml par rapport au témoin.</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Pr="0067253E"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En fin d’entreposage, la souche lactique </w:t>
      </w:r>
      <w:r w:rsidRPr="0067253E">
        <w:rPr>
          <w:rFonts w:asciiTheme="majorBidi" w:hAnsiTheme="majorBidi" w:cstheme="majorBidi"/>
          <w:i/>
          <w:iCs/>
        </w:rPr>
        <w:t>Streptococcus</w:t>
      </w:r>
      <w:r w:rsidRPr="0067253E">
        <w:rPr>
          <w:rFonts w:asciiTheme="majorBidi" w:hAnsiTheme="majorBidi" w:cstheme="majorBidi"/>
        </w:rPr>
        <w:t xml:space="preserve"> </w:t>
      </w:r>
      <w:r w:rsidRPr="0067253E">
        <w:rPr>
          <w:rFonts w:asciiTheme="majorBidi" w:hAnsiTheme="majorBidi" w:cstheme="majorBidi"/>
          <w:i/>
          <w:iCs/>
        </w:rPr>
        <w:t>thermophilus</w:t>
      </w:r>
      <w:r w:rsidRPr="0067253E">
        <w:rPr>
          <w:rFonts w:asciiTheme="majorBidi" w:hAnsiTheme="majorBidi" w:cstheme="majorBidi"/>
        </w:rPr>
        <w:t xml:space="preserve"> montre une bonne survie (P&lt;0.05) </w:t>
      </w:r>
      <w:r>
        <w:rPr>
          <w:rFonts w:asciiTheme="majorBidi" w:hAnsiTheme="majorBidi" w:cstheme="majorBidi"/>
        </w:rPr>
        <w:t>(</w:t>
      </w:r>
      <w:r w:rsidRPr="0067253E">
        <w:rPr>
          <w:rFonts w:asciiTheme="majorBidi" w:hAnsiTheme="majorBidi" w:cstheme="majorBidi"/>
        </w:rPr>
        <w:t>de 1.73 à 2.39 unités logarithmiques d’amélioration par rapport au témoin</w:t>
      </w:r>
      <w:r>
        <w:rPr>
          <w:rFonts w:asciiTheme="majorBidi" w:hAnsiTheme="majorBidi" w:cstheme="majorBidi"/>
        </w:rPr>
        <w:t>)</w:t>
      </w:r>
      <w:r w:rsidRPr="0067253E">
        <w:rPr>
          <w:rFonts w:asciiTheme="majorBidi" w:hAnsiTheme="majorBidi" w:cstheme="majorBidi"/>
        </w:rPr>
        <w:t>.</w:t>
      </w: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Selon </w:t>
      </w:r>
      <w:r w:rsidRPr="0067253E">
        <w:rPr>
          <w:rFonts w:asciiTheme="majorBidi" w:hAnsiTheme="majorBidi" w:cstheme="majorBidi"/>
          <w:color w:val="0000FF"/>
        </w:rPr>
        <w:t>Acalin et al. (2004)</w:t>
      </w:r>
      <w:r w:rsidRPr="0067253E">
        <w:rPr>
          <w:rFonts w:asciiTheme="majorBidi" w:hAnsiTheme="majorBidi" w:cstheme="majorBidi"/>
        </w:rPr>
        <w:t xml:space="preserve">, </w:t>
      </w:r>
      <w:r w:rsidRPr="0067253E">
        <w:rPr>
          <w:rFonts w:asciiTheme="majorBidi" w:hAnsiTheme="majorBidi" w:cstheme="majorBidi"/>
          <w:i/>
          <w:iCs/>
        </w:rPr>
        <w:t>Streptococcus thermophilus</w:t>
      </w:r>
      <w:r w:rsidRPr="0067253E">
        <w:rPr>
          <w:rFonts w:asciiTheme="majorBidi" w:hAnsiTheme="majorBidi" w:cstheme="majorBidi"/>
        </w:rPr>
        <w:t xml:space="preserve"> maintient une bonne viabilité dans les yaourts additionnés ou non des souches bénéfiques (</w:t>
      </w:r>
      <w:r w:rsidRPr="0067253E">
        <w:rPr>
          <w:rFonts w:asciiTheme="majorBidi" w:hAnsiTheme="majorBidi" w:cstheme="majorBidi"/>
          <w:i/>
          <w:iCs/>
        </w:rPr>
        <w:t>Bifidobacterium animalis</w:t>
      </w:r>
      <w:r w:rsidRPr="0067253E">
        <w:rPr>
          <w:rFonts w:asciiTheme="majorBidi" w:hAnsiTheme="majorBidi" w:cstheme="majorBidi"/>
        </w:rPr>
        <w:t xml:space="preserve"> ssp </w:t>
      </w:r>
      <w:r w:rsidRPr="0067253E">
        <w:rPr>
          <w:rFonts w:asciiTheme="majorBidi" w:hAnsiTheme="majorBidi" w:cstheme="majorBidi"/>
          <w:i/>
          <w:iCs/>
        </w:rPr>
        <w:t>lactis</w:t>
      </w:r>
      <w:r w:rsidRPr="0067253E">
        <w:rPr>
          <w:rFonts w:asciiTheme="majorBidi" w:hAnsiTheme="majorBidi" w:cstheme="majorBidi"/>
        </w:rPr>
        <w:t xml:space="preserve"> ou </w:t>
      </w:r>
      <w:r w:rsidRPr="0067253E">
        <w:rPr>
          <w:rFonts w:asciiTheme="majorBidi" w:hAnsiTheme="majorBidi" w:cstheme="majorBidi"/>
          <w:i/>
          <w:iCs/>
        </w:rPr>
        <w:t>Bifidobacterium longum</w:t>
      </w:r>
      <w:r w:rsidRPr="0067253E">
        <w:rPr>
          <w:rFonts w:asciiTheme="majorBidi" w:hAnsiTheme="majorBidi" w:cstheme="majorBidi"/>
        </w:rPr>
        <w:t xml:space="preserve">) et/ou de fructo-oligosaccharides. </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color w:val="0000FF"/>
        </w:rPr>
        <w:t>Sodini et al. (2002)</w:t>
      </w:r>
      <w:r w:rsidRPr="0067253E">
        <w:rPr>
          <w:rFonts w:asciiTheme="majorBidi" w:hAnsiTheme="majorBidi" w:cstheme="majorBidi"/>
        </w:rPr>
        <w:t xml:space="preserve">, ont </w:t>
      </w:r>
      <w:r>
        <w:rPr>
          <w:rFonts w:asciiTheme="majorBidi" w:hAnsiTheme="majorBidi" w:cstheme="majorBidi"/>
        </w:rPr>
        <w:t>rapporté</w:t>
      </w:r>
      <w:r w:rsidRPr="0067253E">
        <w:rPr>
          <w:rFonts w:asciiTheme="majorBidi" w:hAnsiTheme="majorBidi" w:cstheme="majorBidi"/>
        </w:rPr>
        <w:t xml:space="preserve"> que la survie des </w:t>
      </w:r>
      <w:r w:rsidRPr="0067253E">
        <w:rPr>
          <w:rFonts w:asciiTheme="majorBidi" w:hAnsiTheme="majorBidi" w:cstheme="majorBidi"/>
          <w:i/>
          <w:iCs/>
        </w:rPr>
        <w:t>Lactobacillus acidophilus</w:t>
      </w:r>
      <w:r w:rsidRPr="0067253E">
        <w:rPr>
          <w:rFonts w:asciiTheme="majorBidi" w:hAnsiTheme="majorBidi" w:cstheme="majorBidi"/>
        </w:rPr>
        <w:t xml:space="preserve"> LA5 </w:t>
      </w:r>
      <w:r>
        <w:rPr>
          <w:rFonts w:asciiTheme="majorBidi" w:hAnsiTheme="majorBidi" w:cstheme="majorBidi"/>
        </w:rPr>
        <w:t xml:space="preserve">après </w:t>
      </w:r>
      <w:r w:rsidRPr="0067253E">
        <w:rPr>
          <w:rFonts w:asciiTheme="majorBidi" w:hAnsiTheme="majorBidi" w:cstheme="majorBidi"/>
        </w:rPr>
        <w:t xml:space="preserve"> 4 semaine</w:t>
      </w:r>
      <w:r>
        <w:rPr>
          <w:rFonts w:asciiTheme="majorBidi" w:hAnsiTheme="majorBidi" w:cstheme="majorBidi"/>
        </w:rPr>
        <w:t>s</w:t>
      </w:r>
      <w:r w:rsidRPr="0067253E">
        <w:rPr>
          <w:rFonts w:asciiTheme="majorBidi" w:hAnsiTheme="majorBidi" w:cstheme="majorBidi"/>
        </w:rPr>
        <w:t xml:space="preserve"> d’entreposage </w:t>
      </w:r>
      <w:r>
        <w:rPr>
          <w:rFonts w:asciiTheme="majorBidi" w:hAnsiTheme="majorBidi" w:cstheme="majorBidi"/>
        </w:rPr>
        <w:t xml:space="preserve">à 4°C </w:t>
      </w:r>
      <w:r w:rsidRPr="0067253E">
        <w:rPr>
          <w:rFonts w:asciiTheme="majorBidi" w:hAnsiTheme="majorBidi" w:cstheme="majorBidi"/>
        </w:rPr>
        <w:t xml:space="preserve">en présence de Promilk C502, </w:t>
      </w:r>
      <w:r>
        <w:rPr>
          <w:rFonts w:asciiTheme="majorBidi" w:hAnsiTheme="majorBidi" w:cstheme="majorBidi"/>
        </w:rPr>
        <w:t>d’</w:t>
      </w:r>
      <w:r w:rsidRPr="0067253E">
        <w:rPr>
          <w:rFonts w:asciiTheme="majorBidi" w:hAnsiTheme="majorBidi" w:cstheme="majorBidi"/>
        </w:rPr>
        <w:t>hydrolysat de caséine</w:t>
      </w:r>
      <w:r>
        <w:rPr>
          <w:rFonts w:asciiTheme="majorBidi" w:hAnsiTheme="majorBidi" w:cstheme="majorBidi"/>
        </w:rPr>
        <w:t>s</w:t>
      </w:r>
      <w:r w:rsidRPr="0067253E">
        <w:rPr>
          <w:rFonts w:asciiTheme="majorBidi" w:hAnsiTheme="majorBidi" w:cstheme="majorBidi"/>
        </w:rPr>
        <w:t xml:space="preserve"> CH1 et CH2 ; </w:t>
      </w:r>
      <w:r>
        <w:rPr>
          <w:rFonts w:asciiTheme="majorBidi" w:hAnsiTheme="majorBidi" w:cstheme="majorBidi"/>
        </w:rPr>
        <w:t xml:space="preserve">était, </w:t>
      </w:r>
      <w:r w:rsidRPr="0067253E">
        <w:rPr>
          <w:rFonts w:asciiTheme="majorBidi" w:hAnsiTheme="majorBidi" w:cstheme="majorBidi"/>
        </w:rPr>
        <w:t>respectivement, de l’ordre 48.41, 74.45, 70.13%. Ainsi, dans le même ordre</w:t>
      </w:r>
      <w:r>
        <w:rPr>
          <w:rFonts w:asciiTheme="majorBidi" w:hAnsiTheme="majorBidi" w:cstheme="majorBidi"/>
        </w:rPr>
        <w:t>,</w:t>
      </w:r>
      <w:r w:rsidRPr="0067253E">
        <w:rPr>
          <w:rFonts w:asciiTheme="majorBidi" w:hAnsiTheme="majorBidi" w:cstheme="majorBidi"/>
        </w:rPr>
        <w:t xml:space="preserve"> la survie de </w:t>
      </w:r>
      <w:r w:rsidRPr="0067253E">
        <w:rPr>
          <w:rFonts w:asciiTheme="majorBidi" w:hAnsiTheme="majorBidi" w:cstheme="majorBidi"/>
          <w:i/>
          <w:iCs/>
        </w:rPr>
        <w:t>Lactobacillus rhamnosus</w:t>
      </w:r>
      <w:r w:rsidRPr="0067253E">
        <w:rPr>
          <w:rFonts w:asciiTheme="majorBidi" w:hAnsiTheme="majorBidi" w:cstheme="majorBidi"/>
        </w:rPr>
        <w:t xml:space="preserve"> LR38 </w:t>
      </w:r>
      <w:r>
        <w:rPr>
          <w:rFonts w:asciiTheme="majorBidi" w:hAnsiTheme="majorBidi" w:cstheme="majorBidi"/>
        </w:rPr>
        <w:t>à la</w:t>
      </w:r>
      <w:r w:rsidRPr="0067253E">
        <w:rPr>
          <w:rFonts w:asciiTheme="majorBidi" w:hAnsiTheme="majorBidi" w:cstheme="majorBidi"/>
        </w:rPr>
        <w:t xml:space="preserve"> 5</w:t>
      </w:r>
      <w:r w:rsidRPr="0067253E">
        <w:rPr>
          <w:rFonts w:asciiTheme="majorBidi" w:hAnsiTheme="majorBidi" w:cstheme="majorBidi"/>
          <w:vertAlign w:val="superscript"/>
        </w:rPr>
        <w:t>ème</w:t>
      </w:r>
      <w:r w:rsidRPr="0067253E">
        <w:rPr>
          <w:rFonts w:asciiTheme="majorBidi" w:hAnsiTheme="majorBidi" w:cstheme="majorBidi"/>
        </w:rPr>
        <w:t xml:space="preserve"> semaine d’entreposage frigorifique est de l’ordre de 98.16, 97.92, 94.5%. Les mêmes auteurs ont rapporté que la meilleure stabilité de la souche </w:t>
      </w:r>
      <w:r w:rsidRPr="0067253E">
        <w:rPr>
          <w:rFonts w:asciiTheme="majorBidi" w:hAnsiTheme="majorBidi" w:cstheme="majorBidi"/>
          <w:i/>
          <w:iCs/>
        </w:rPr>
        <w:t>Lactobacillus acidophilus</w:t>
      </w:r>
      <w:r w:rsidRPr="0067253E">
        <w:rPr>
          <w:rFonts w:asciiTheme="majorBidi" w:hAnsiTheme="majorBidi" w:cstheme="majorBidi"/>
        </w:rPr>
        <w:t xml:space="preserve"> LA5 en culture mixte avec </w:t>
      </w:r>
      <w:r w:rsidRPr="0067253E">
        <w:rPr>
          <w:rFonts w:asciiTheme="majorBidi" w:hAnsiTheme="majorBidi" w:cstheme="majorBidi"/>
          <w:i/>
          <w:iCs/>
        </w:rPr>
        <w:t>Streptococcus thermophilus</w:t>
      </w:r>
      <w:r w:rsidRPr="0067253E">
        <w:rPr>
          <w:rFonts w:asciiTheme="majorBidi" w:hAnsiTheme="majorBidi" w:cstheme="majorBidi"/>
        </w:rPr>
        <w:t xml:space="preserve"> en présence d’hydrolysat de caséine</w:t>
      </w:r>
      <w:r>
        <w:rPr>
          <w:rFonts w:asciiTheme="majorBidi" w:hAnsiTheme="majorBidi" w:cstheme="majorBidi"/>
        </w:rPr>
        <w:t xml:space="preserve">s était de </w:t>
      </w:r>
      <w:r w:rsidRPr="0067253E">
        <w:rPr>
          <w:rFonts w:asciiTheme="majorBidi" w:hAnsiTheme="majorBidi" w:cstheme="majorBidi"/>
        </w:rPr>
        <w:t>10</w:t>
      </w:r>
      <w:r w:rsidRPr="0067253E">
        <w:rPr>
          <w:rFonts w:asciiTheme="majorBidi" w:hAnsiTheme="majorBidi" w:cstheme="majorBidi"/>
          <w:vertAlign w:val="superscript"/>
        </w:rPr>
        <w:t>6</w:t>
      </w:r>
      <w:r w:rsidRPr="0067253E">
        <w:rPr>
          <w:rFonts w:asciiTheme="majorBidi" w:hAnsiTheme="majorBidi" w:cstheme="majorBidi"/>
        </w:rPr>
        <w:t xml:space="preserve"> UFC/ml après 3 semaines d’entreposage et </w:t>
      </w:r>
      <w:r>
        <w:rPr>
          <w:rFonts w:asciiTheme="majorBidi" w:hAnsiTheme="majorBidi" w:cstheme="majorBidi"/>
        </w:rPr>
        <w:t xml:space="preserve">de </w:t>
      </w:r>
      <w:r w:rsidRPr="0067253E">
        <w:rPr>
          <w:rFonts w:asciiTheme="majorBidi" w:hAnsiTheme="majorBidi" w:cstheme="majorBidi"/>
        </w:rPr>
        <w:t>10</w:t>
      </w:r>
      <w:r w:rsidRPr="0067253E">
        <w:rPr>
          <w:rFonts w:asciiTheme="majorBidi" w:hAnsiTheme="majorBidi" w:cstheme="majorBidi"/>
          <w:vertAlign w:val="superscript"/>
        </w:rPr>
        <w:t>5</w:t>
      </w:r>
      <w:r w:rsidRPr="0067253E">
        <w:rPr>
          <w:rFonts w:asciiTheme="majorBidi" w:hAnsiTheme="majorBidi" w:cstheme="majorBidi"/>
        </w:rPr>
        <w:t xml:space="preserve"> UFC/ml après 5 semaines d’entreposage à 4°C.</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Dans ce travail, à 0.53% (P/V) d’hydrolysat de caséine, les souches bénéfiques maintiennent une bonne viabilité </w:t>
      </w:r>
      <w:r>
        <w:rPr>
          <w:rFonts w:asciiTheme="majorBidi" w:hAnsiTheme="majorBidi" w:cstheme="majorBidi"/>
        </w:rPr>
        <w:t>variable</w:t>
      </w:r>
      <w:r w:rsidRPr="0067253E">
        <w:rPr>
          <w:rFonts w:asciiTheme="majorBidi" w:hAnsiTheme="majorBidi" w:cstheme="majorBidi"/>
        </w:rPr>
        <w:t xml:space="preserve"> de 86.49 à 99.07% </w:t>
      </w:r>
      <w:r>
        <w:rPr>
          <w:rFonts w:asciiTheme="majorBidi" w:hAnsiTheme="majorBidi" w:cstheme="majorBidi"/>
        </w:rPr>
        <w:t>au</w:t>
      </w:r>
      <w:r w:rsidRPr="0067253E">
        <w:rPr>
          <w:rFonts w:asciiTheme="majorBidi" w:hAnsiTheme="majorBidi" w:cstheme="majorBidi"/>
        </w:rPr>
        <w:t xml:space="preserve"> 7</w:t>
      </w:r>
      <w:r w:rsidRPr="0067253E">
        <w:rPr>
          <w:rFonts w:asciiTheme="majorBidi" w:hAnsiTheme="majorBidi" w:cstheme="majorBidi"/>
          <w:vertAlign w:val="superscript"/>
        </w:rPr>
        <w:t>ème</w:t>
      </w:r>
      <w:r w:rsidRPr="0067253E">
        <w:rPr>
          <w:rFonts w:asciiTheme="majorBidi" w:hAnsiTheme="majorBidi" w:cstheme="majorBidi"/>
        </w:rPr>
        <w:t xml:space="preserve"> jour d’entreposage</w:t>
      </w:r>
      <w:r>
        <w:rPr>
          <w:rFonts w:asciiTheme="majorBidi" w:hAnsiTheme="majorBidi" w:cstheme="majorBidi"/>
        </w:rPr>
        <w:t>, soit</w:t>
      </w:r>
      <w:r w:rsidRPr="0067253E">
        <w:rPr>
          <w:rFonts w:asciiTheme="majorBidi" w:hAnsiTheme="majorBidi" w:cstheme="majorBidi"/>
        </w:rPr>
        <w:t xml:space="preserve"> une amélioration de 2.96 à 11.86% par rapport au témoin</w:t>
      </w:r>
      <w:r>
        <w:rPr>
          <w:rFonts w:asciiTheme="majorBidi" w:hAnsiTheme="majorBidi" w:cstheme="majorBidi"/>
        </w:rPr>
        <w:t xml:space="preserve">, alors </w:t>
      </w:r>
      <w:r w:rsidRPr="0067253E">
        <w:rPr>
          <w:rFonts w:asciiTheme="majorBidi" w:hAnsiTheme="majorBidi" w:cstheme="majorBidi"/>
        </w:rPr>
        <w:t xml:space="preserve">la perte de la viabilité </w:t>
      </w:r>
      <w:r w:rsidRPr="0067253E">
        <w:rPr>
          <w:rFonts w:asciiTheme="majorBidi" w:hAnsiTheme="majorBidi" w:cstheme="majorBidi"/>
        </w:rPr>
        <w:lastRenderedPageBreak/>
        <w:t xml:space="preserve">de ces souches en fin de période d’entreposage frigorifique </w:t>
      </w:r>
      <w:r>
        <w:rPr>
          <w:rFonts w:asciiTheme="majorBidi" w:hAnsiTheme="majorBidi" w:cstheme="majorBidi"/>
        </w:rPr>
        <w:t xml:space="preserve">variant </w:t>
      </w:r>
      <w:r w:rsidRPr="0067253E">
        <w:rPr>
          <w:rFonts w:asciiTheme="majorBidi" w:hAnsiTheme="majorBidi" w:cstheme="majorBidi"/>
        </w:rPr>
        <w:t>de 11.34 à 28.16% avec une augmentation de 0.67 à 1.89 unités logarithmiques par rapport au témoin.</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La souche Bb12 en présence de Promilk 852A2 et </w:t>
      </w:r>
      <w:r>
        <w:rPr>
          <w:rFonts w:asciiTheme="majorBidi" w:hAnsiTheme="majorBidi" w:cstheme="majorBidi"/>
        </w:rPr>
        <w:t>au</w:t>
      </w:r>
      <w:r w:rsidRPr="0067253E">
        <w:rPr>
          <w:rFonts w:asciiTheme="majorBidi" w:hAnsiTheme="majorBidi" w:cstheme="majorBidi"/>
        </w:rPr>
        <w:t xml:space="preserve"> 28</w:t>
      </w:r>
      <w:r w:rsidRPr="0067253E">
        <w:rPr>
          <w:rFonts w:asciiTheme="majorBidi" w:hAnsiTheme="majorBidi" w:cstheme="majorBidi"/>
          <w:vertAlign w:val="superscript"/>
        </w:rPr>
        <w:t>ème</w:t>
      </w:r>
      <w:r w:rsidRPr="0067253E">
        <w:rPr>
          <w:rFonts w:asciiTheme="majorBidi" w:hAnsiTheme="majorBidi" w:cstheme="majorBidi"/>
        </w:rPr>
        <w:t xml:space="preserve"> jour d’entreposage a marqué une diminution de 3.22% de la viabilité par rapport au témoin.</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Selon nos résultats, la post-fermentation du lait fermenté en culture mixte avec les deux ferments lactiques et une souche bénéfique </w:t>
      </w:r>
      <w:r>
        <w:rPr>
          <w:rFonts w:asciiTheme="majorBidi" w:hAnsiTheme="majorBidi" w:cstheme="majorBidi"/>
        </w:rPr>
        <w:t xml:space="preserve">plus </w:t>
      </w:r>
      <w:r w:rsidRPr="0067253E">
        <w:rPr>
          <w:rFonts w:asciiTheme="majorBidi" w:hAnsiTheme="majorBidi" w:cstheme="majorBidi"/>
        </w:rPr>
        <w:t xml:space="preserve">importante (P&lt;0.05) que la culture avec </w:t>
      </w:r>
      <w:r w:rsidRPr="0067253E">
        <w:rPr>
          <w:rFonts w:asciiTheme="majorBidi" w:hAnsiTheme="majorBidi" w:cstheme="majorBidi"/>
          <w:i/>
          <w:iCs/>
        </w:rPr>
        <w:t>Streptococcus</w:t>
      </w:r>
      <w:r w:rsidRPr="0067253E">
        <w:rPr>
          <w:rFonts w:asciiTheme="majorBidi" w:hAnsiTheme="majorBidi" w:cstheme="majorBidi"/>
        </w:rPr>
        <w:t xml:space="preserve"> </w:t>
      </w:r>
      <w:r w:rsidRPr="0067253E">
        <w:rPr>
          <w:rFonts w:asciiTheme="majorBidi" w:hAnsiTheme="majorBidi" w:cstheme="majorBidi"/>
          <w:i/>
          <w:iCs/>
        </w:rPr>
        <w:t>thermophilus</w:t>
      </w:r>
      <w:r w:rsidRPr="0067253E">
        <w:rPr>
          <w:rFonts w:asciiTheme="majorBidi" w:hAnsiTheme="majorBidi" w:cstheme="majorBidi"/>
        </w:rPr>
        <w:t xml:space="preserve"> et une bénéfique.</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Le pH des cultures mixtes témoins (en absence d’ingrédients protéiques laitiers) entre </w:t>
      </w:r>
      <w:r w:rsidRPr="0067253E">
        <w:rPr>
          <w:rFonts w:asciiTheme="majorBidi" w:hAnsiTheme="majorBidi" w:cstheme="majorBidi"/>
          <w:i/>
          <w:iCs/>
        </w:rPr>
        <w:t>Streptococcus</w:t>
      </w:r>
      <w:r w:rsidRPr="0067253E">
        <w:rPr>
          <w:rFonts w:asciiTheme="majorBidi" w:hAnsiTheme="majorBidi" w:cstheme="majorBidi"/>
        </w:rPr>
        <w:t xml:space="preserve"> </w:t>
      </w:r>
      <w:r w:rsidRPr="0067253E">
        <w:rPr>
          <w:rFonts w:asciiTheme="majorBidi" w:hAnsiTheme="majorBidi" w:cstheme="majorBidi"/>
          <w:i/>
          <w:iCs/>
        </w:rPr>
        <w:t>thermophilus</w:t>
      </w:r>
      <w:r w:rsidRPr="0067253E">
        <w:rPr>
          <w:rFonts w:asciiTheme="majorBidi" w:hAnsiTheme="majorBidi" w:cstheme="majorBidi"/>
        </w:rPr>
        <w:t xml:space="preserve"> et une souche bénéfique diminue lors de l’entreposage au froid </w:t>
      </w:r>
      <w:r>
        <w:rPr>
          <w:rFonts w:asciiTheme="majorBidi" w:hAnsiTheme="majorBidi" w:cstheme="majorBidi"/>
        </w:rPr>
        <w:t xml:space="preserve">dans un intervalle compris entre </w:t>
      </w:r>
      <w:r w:rsidRPr="0067253E">
        <w:rPr>
          <w:rFonts w:asciiTheme="majorBidi" w:hAnsiTheme="majorBidi" w:cstheme="majorBidi"/>
        </w:rPr>
        <w:t>4.88 à 4.91 au 7</w:t>
      </w:r>
      <w:r w:rsidRPr="0067253E">
        <w:rPr>
          <w:rFonts w:asciiTheme="majorBidi" w:hAnsiTheme="majorBidi" w:cstheme="majorBidi"/>
          <w:vertAlign w:val="superscript"/>
        </w:rPr>
        <w:t>ème</w:t>
      </w:r>
      <w:r w:rsidRPr="0067253E">
        <w:rPr>
          <w:rFonts w:asciiTheme="majorBidi" w:hAnsiTheme="majorBidi" w:cstheme="majorBidi"/>
        </w:rPr>
        <w:t xml:space="preserve"> jour d’entreposage et jusqu’à 4.64 à 4.72 en fin d’entreposage à 4°C</w:t>
      </w:r>
      <w:r>
        <w:rPr>
          <w:rFonts w:asciiTheme="majorBidi" w:hAnsiTheme="majorBidi" w:cstheme="majorBidi"/>
        </w:rPr>
        <w:t xml:space="preserve"> </w:t>
      </w:r>
      <w:r>
        <w:rPr>
          <w:rFonts w:asciiTheme="majorBidi" w:hAnsiTheme="majorBidi" w:cstheme="majorBidi"/>
          <w:color w:val="3333FF"/>
        </w:rPr>
        <w:t>(figure 11)</w:t>
      </w:r>
      <w:r w:rsidRPr="0067253E">
        <w:rPr>
          <w:rFonts w:asciiTheme="majorBidi" w:hAnsiTheme="majorBidi" w:cstheme="majorBidi"/>
        </w:rPr>
        <w:t>.</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La fourchette de pH change légèrement dans les laits fermentés en présence de Promilk 852A2, de Promilk C502 et d’hydrolysat de caséine</w:t>
      </w:r>
      <w:r>
        <w:rPr>
          <w:rFonts w:asciiTheme="majorBidi" w:hAnsiTheme="majorBidi" w:cstheme="majorBidi"/>
        </w:rPr>
        <w:t>s</w:t>
      </w:r>
      <w:r w:rsidRPr="0067253E">
        <w:rPr>
          <w:rFonts w:asciiTheme="majorBidi" w:hAnsiTheme="majorBidi" w:cstheme="majorBidi"/>
        </w:rPr>
        <w:t>. Dans toutes les cultures mixtes, les abaissements de pH enregistrés entre l</w:t>
      </w:r>
      <w:r>
        <w:rPr>
          <w:rFonts w:asciiTheme="majorBidi" w:hAnsiTheme="majorBidi" w:cstheme="majorBidi"/>
        </w:rPr>
        <w:t xml:space="preserve">e point </w:t>
      </w:r>
      <w:r w:rsidRPr="0067253E">
        <w:rPr>
          <w:rFonts w:asciiTheme="majorBidi" w:hAnsiTheme="majorBidi" w:cstheme="majorBidi"/>
        </w:rPr>
        <w:t>de coagulation et le 28</w:t>
      </w:r>
      <w:r w:rsidRPr="0067253E">
        <w:rPr>
          <w:rFonts w:asciiTheme="majorBidi" w:hAnsiTheme="majorBidi" w:cstheme="majorBidi"/>
          <w:vertAlign w:val="superscript"/>
        </w:rPr>
        <w:t>ème</w:t>
      </w:r>
      <w:r w:rsidRPr="0067253E">
        <w:rPr>
          <w:rFonts w:asciiTheme="majorBidi" w:hAnsiTheme="majorBidi" w:cstheme="majorBidi"/>
        </w:rPr>
        <w:t xml:space="preserve"> jour d’entreposage sont inférieurs (P&lt;0.05) à ceux notés dans les laits fermentés témoins, </w:t>
      </w:r>
      <w:r>
        <w:rPr>
          <w:rFonts w:asciiTheme="majorBidi" w:hAnsiTheme="majorBidi" w:cstheme="majorBidi"/>
        </w:rPr>
        <w:t xml:space="preserve">respectivement situés dans les intervalles </w:t>
      </w:r>
      <w:r w:rsidRPr="0067253E">
        <w:rPr>
          <w:rFonts w:asciiTheme="majorBidi" w:hAnsiTheme="majorBidi" w:cstheme="majorBidi"/>
        </w:rPr>
        <w:t xml:space="preserve">de 0.37 à 0.38, 0.42 à 0.45, 0.37 à 0.4, 0.4 à 0.45 et 0.4 à 0.46 </w:t>
      </w:r>
      <w:r>
        <w:rPr>
          <w:rFonts w:asciiTheme="majorBidi" w:hAnsiTheme="majorBidi" w:cstheme="majorBidi"/>
        </w:rPr>
        <w:t xml:space="preserve">pour les souches </w:t>
      </w:r>
      <w:r w:rsidRPr="0067253E">
        <w:rPr>
          <w:rFonts w:asciiTheme="majorBidi" w:hAnsiTheme="majorBidi" w:cstheme="majorBidi"/>
        </w:rPr>
        <w:t>BLR, LbRE-LSAS, Bb12, Lba CECT4529 et Lbp CECT748.</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Pr="0067253E"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En présence de lactosérum doux, les abaissements de pH entre l</w:t>
      </w:r>
      <w:r>
        <w:rPr>
          <w:rFonts w:asciiTheme="majorBidi" w:hAnsiTheme="majorBidi" w:cstheme="majorBidi"/>
        </w:rPr>
        <w:t xml:space="preserve">e point </w:t>
      </w:r>
      <w:r w:rsidRPr="0067253E">
        <w:rPr>
          <w:rFonts w:asciiTheme="majorBidi" w:hAnsiTheme="majorBidi" w:cstheme="majorBidi"/>
        </w:rPr>
        <w:t>de coagulation et la fin d’entreposage à 4°C sont compris de 0.39 à 0.44 unités avec une amélioration de 5.17 à 6.15% par rapport au témoin au 28</w:t>
      </w:r>
      <w:r w:rsidRPr="0067253E">
        <w:rPr>
          <w:rFonts w:asciiTheme="majorBidi" w:hAnsiTheme="majorBidi" w:cstheme="majorBidi"/>
          <w:vertAlign w:val="superscript"/>
        </w:rPr>
        <w:t>ème</w:t>
      </w:r>
      <w:r w:rsidRPr="0067253E">
        <w:rPr>
          <w:rFonts w:asciiTheme="majorBidi" w:hAnsiTheme="majorBidi" w:cstheme="majorBidi"/>
        </w:rPr>
        <w:t xml:space="preserve"> jour de </w:t>
      </w:r>
      <w:r>
        <w:rPr>
          <w:rFonts w:asciiTheme="majorBidi" w:hAnsiTheme="majorBidi" w:cstheme="majorBidi"/>
        </w:rPr>
        <w:t xml:space="preserve">conservation au </w:t>
      </w:r>
      <w:r w:rsidRPr="0067253E">
        <w:rPr>
          <w:rFonts w:asciiTheme="majorBidi" w:hAnsiTheme="majorBidi" w:cstheme="majorBidi"/>
        </w:rPr>
        <w:t>froid.</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C66E7" w:rsidP="00F13BB2">
      <w:pPr>
        <w:spacing w:before="0" w:after="0" w:line="360" w:lineRule="auto"/>
        <w:ind w:left="1276" w:hanging="850"/>
        <w:contextualSpacing/>
        <w:jc w:val="both"/>
        <w:rPr>
          <w:rFonts w:asciiTheme="majorBidi" w:hAnsiTheme="majorBidi" w:cstheme="majorBidi"/>
          <w:b/>
          <w:bCs/>
        </w:rPr>
      </w:pPr>
      <w:r w:rsidRPr="0067253E">
        <w:rPr>
          <w:rFonts w:asciiTheme="majorBidi" w:hAnsiTheme="majorBidi" w:cstheme="majorBidi"/>
          <w:b/>
          <w:bCs/>
        </w:rPr>
        <w:t>V.2.2. Viabilité et activité post-acidifiante de la culture des deux ferments lactiques (</w:t>
      </w:r>
      <w:r w:rsidRPr="0067253E">
        <w:rPr>
          <w:rFonts w:asciiTheme="majorBidi" w:hAnsiTheme="majorBidi" w:cstheme="majorBidi"/>
          <w:b/>
          <w:bCs/>
          <w:i/>
          <w:iCs/>
        </w:rPr>
        <w:t>Streptococcus</w:t>
      </w:r>
      <w:r w:rsidRPr="0067253E">
        <w:rPr>
          <w:rFonts w:asciiTheme="majorBidi" w:hAnsiTheme="majorBidi" w:cstheme="majorBidi"/>
          <w:b/>
          <w:bCs/>
        </w:rPr>
        <w:t xml:space="preserve"> </w:t>
      </w:r>
      <w:r w:rsidRPr="0067253E">
        <w:rPr>
          <w:rFonts w:asciiTheme="majorBidi" w:hAnsiTheme="majorBidi" w:cstheme="majorBidi"/>
          <w:b/>
          <w:bCs/>
          <w:i/>
          <w:iCs/>
        </w:rPr>
        <w:t>thermophilus</w:t>
      </w:r>
      <w:r w:rsidRPr="0067253E">
        <w:rPr>
          <w:rFonts w:asciiTheme="majorBidi" w:hAnsiTheme="majorBidi" w:cstheme="majorBidi"/>
          <w:b/>
          <w:bCs/>
        </w:rPr>
        <w:t xml:space="preserve"> et </w:t>
      </w:r>
      <w:r w:rsidRPr="0067253E">
        <w:rPr>
          <w:rFonts w:asciiTheme="majorBidi" w:hAnsiTheme="majorBidi" w:cstheme="majorBidi"/>
          <w:b/>
          <w:bCs/>
          <w:i/>
          <w:iCs/>
        </w:rPr>
        <w:t>Lactobacillus</w:t>
      </w:r>
      <w:r w:rsidRPr="0067253E">
        <w:rPr>
          <w:rFonts w:asciiTheme="majorBidi" w:hAnsiTheme="majorBidi" w:cstheme="majorBidi"/>
          <w:b/>
          <w:bCs/>
        </w:rPr>
        <w:t xml:space="preserve"> </w:t>
      </w:r>
      <w:r w:rsidRPr="0067253E">
        <w:rPr>
          <w:rFonts w:asciiTheme="majorBidi" w:hAnsiTheme="majorBidi" w:cstheme="majorBidi"/>
          <w:b/>
          <w:bCs/>
          <w:i/>
          <w:iCs/>
        </w:rPr>
        <w:t>bulgaricus</w:t>
      </w:r>
      <w:r w:rsidRPr="0067253E">
        <w:rPr>
          <w:rFonts w:asciiTheme="majorBidi" w:hAnsiTheme="majorBidi" w:cstheme="majorBidi"/>
          <w:b/>
          <w:bCs/>
        </w:rPr>
        <w:t>) en présence d’une souche bénéfique</w:t>
      </w:r>
      <w:r>
        <w:rPr>
          <w:rFonts w:asciiTheme="majorBidi" w:hAnsiTheme="majorBidi" w:cstheme="majorBidi"/>
          <w:b/>
          <w:bCs/>
        </w:rPr>
        <w:t>.</w:t>
      </w:r>
    </w:p>
    <w:p w:rsidR="006C66E7" w:rsidRPr="0067253E" w:rsidRDefault="006C66E7" w:rsidP="006C66E7">
      <w:pPr>
        <w:spacing w:before="0" w:after="0" w:line="360" w:lineRule="auto"/>
        <w:ind w:hanging="491"/>
        <w:contextualSpacing/>
        <w:jc w:val="both"/>
        <w:rPr>
          <w:rFonts w:asciiTheme="majorBidi" w:hAnsiTheme="majorBidi" w:cstheme="majorBidi"/>
          <w:b/>
          <w:bCs/>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En absence d’ingrédients protéiques (témoin) et après 7 jours d’entreposage, la perte de biomasse des souches bénéfiques BLR, LbRE-LSAS, Bb12, Lba CECT4529 et Lbp </w:t>
      </w:r>
      <w:r w:rsidRPr="0067253E">
        <w:rPr>
          <w:rFonts w:asciiTheme="majorBidi" w:hAnsiTheme="majorBidi" w:cstheme="majorBidi"/>
        </w:rPr>
        <w:lastRenderedPageBreak/>
        <w:t>CECT748 était de l’ordre de 2.05, 1.73, 1.91, 1.8 et 1.74 unités logarithmiques où la viabilité représentait 77.42, 82.07, 79.34, 81.1 et 80.84% respectivement</w:t>
      </w:r>
      <w:r>
        <w:rPr>
          <w:rFonts w:asciiTheme="majorBidi" w:hAnsiTheme="majorBidi" w:cstheme="majorBidi"/>
        </w:rPr>
        <w:t xml:space="preserve"> </w:t>
      </w:r>
      <w:r>
        <w:rPr>
          <w:rFonts w:asciiTheme="majorBidi" w:hAnsiTheme="majorBidi" w:cstheme="majorBidi"/>
          <w:color w:val="3333FF"/>
        </w:rPr>
        <w:t>(figure 12)</w:t>
      </w:r>
      <w:r w:rsidRPr="0067253E">
        <w:rPr>
          <w:rFonts w:asciiTheme="majorBidi" w:hAnsiTheme="majorBidi" w:cstheme="majorBidi"/>
        </w:rPr>
        <w:t>.</w:t>
      </w:r>
    </w:p>
    <w:p w:rsidR="00F13BB2" w:rsidRDefault="00F13BB2" w:rsidP="006C66E7">
      <w:pPr>
        <w:spacing w:before="0" w:after="0" w:line="360" w:lineRule="auto"/>
        <w:ind w:firstLine="360"/>
        <w:contextualSpacing/>
        <w:jc w:val="both"/>
        <w:rPr>
          <w:rFonts w:asciiTheme="majorBidi" w:hAnsiTheme="majorBidi" w:cstheme="majorBidi"/>
        </w:rPr>
      </w:pPr>
    </w:p>
    <w:p w:rsidR="00F13BB2" w:rsidRDefault="00F13BB2" w:rsidP="00F13BB2">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Selon la souche bénéfique considérée et après 2 semaines d’entreposage à 4°C, cette viabilité diminue légèrement à un taux compris entre 73.33 à 78.79% ; alors qu’après 28</w:t>
      </w:r>
      <w:r w:rsidRPr="0067253E">
        <w:rPr>
          <w:rFonts w:asciiTheme="majorBidi" w:hAnsiTheme="majorBidi" w:cstheme="majorBidi"/>
          <w:vertAlign w:val="superscript"/>
        </w:rPr>
        <w:t>ème</w:t>
      </w:r>
      <w:r w:rsidRPr="0067253E">
        <w:rPr>
          <w:rFonts w:asciiTheme="majorBidi" w:hAnsiTheme="majorBidi" w:cstheme="majorBidi"/>
        </w:rPr>
        <w:t xml:space="preserve"> jour du froid, elle se situe dans la fourchette des valeurs de 62.2 à 70.69%.</w:t>
      </w:r>
    </w:p>
    <w:p w:rsidR="00F13BB2" w:rsidRPr="0067253E" w:rsidRDefault="00F13BB2" w:rsidP="00F13BB2">
      <w:pPr>
        <w:spacing w:before="0" w:after="0" w:line="360" w:lineRule="auto"/>
        <w:ind w:firstLine="360"/>
        <w:contextualSpacing/>
        <w:jc w:val="both"/>
        <w:rPr>
          <w:rFonts w:asciiTheme="majorBidi" w:hAnsiTheme="majorBidi" w:cstheme="majorBidi"/>
        </w:rPr>
      </w:pPr>
    </w:p>
    <w:p w:rsidR="00F13BB2" w:rsidRDefault="00F13BB2" w:rsidP="00F13BB2">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La viabilité des souches bénéfiques en présence de lactosérum doux pendant la première semaine d’entreposage à 4°C se trouve améliorée de 12.71 à 18.26% par rapport au témoin.</w:t>
      </w:r>
    </w:p>
    <w:p w:rsidR="00F13BB2" w:rsidRPr="0067253E" w:rsidRDefault="00F13BB2" w:rsidP="00F13BB2">
      <w:pPr>
        <w:spacing w:before="0" w:after="0" w:line="360" w:lineRule="auto"/>
        <w:ind w:firstLine="360"/>
        <w:contextualSpacing/>
        <w:jc w:val="both"/>
        <w:rPr>
          <w:rFonts w:asciiTheme="majorBidi" w:hAnsiTheme="majorBidi" w:cstheme="majorBidi"/>
        </w:rPr>
      </w:pPr>
    </w:p>
    <w:p w:rsidR="00F13BB2" w:rsidRDefault="00F13BB2" w:rsidP="00F13BB2">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Toujours en présence de lactosérum doux et après 14 jours d’entreposage, nous avons enregistré des pertes en quantités de biomasse des cinq souches bénéfiques  variables de 0.67 à 1.11 unités logarithmiques, soit respectivement une viabilité de l’ordre de 93.93, 91.83, 92.68, 93.55 et 88.85% pour les souches BLR, LbRE-LSAS, Bb12, Lba CECT4529 et Lbp CECT748.</w:t>
      </w:r>
    </w:p>
    <w:p w:rsidR="00F13BB2" w:rsidRDefault="00F13BB2" w:rsidP="00F13BB2">
      <w:pPr>
        <w:spacing w:before="0" w:after="0" w:line="360" w:lineRule="auto"/>
        <w:ind w:firstLine="360"/>
        <w:contextualSpacing/>
        <w:jc w:val="both"/>
        <w:rPr>
          <w:rFonts w:asciiTheme="majorBidi" w:hAnsiTheme="majorBidi" w:cstheme="majorBidi"/>
        </w:rPr>
      </w:pPr>
    </w:p>
    <w:p w:rsidR="00F13BB2" w:rsidRDefault="00F13BB2" w:rsidP="00F13BB2">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En fin d’entreposage, les pertes en biomasse des souches bénéfiques ont été de l’ordre de 1.44, 1.52, 1.48, 1.98 et 1.75 unités logarithmiques notées respectivement pour BLR, LbRE-LSAS, Bb12, Lba CECT4529 et Lbp CECT748 ; ce qui représente, par rapport au témoin, une diminution de ces pertes de viabilité chiffrée à respectivement 49.56, 26.50, 34, 42.97 et 41.30% pour les mêmes souches citées dans le même ordre.</w:t>
      </w:r>
    </w:p>
    <w:p w:rsidR="00F13BB2" w:rsidRPr="0067253E" w:rsidRDefault="00F13BB2" w:rsidP="00F13BB2">
      <w:pPr>
        <w:spacing w:before="0" w:after="0" w:line="360" w:lineRule="auto"/>
        <w:ind w:firstLine="360"/>
        <w:contextualSpacing/>
        <w:jc w:val="both"/>
        <w:rPr>
          <w:rFonts w:asciiTheme="majorBidi" w:hAnsiTheme="majorBidi" w:cstheme="majorBidi"/>
        </w:rPr>
      </w:pPr>
    </w:p>
    <w:p w:rsidR="00F13BB2" w:rsidRDefault="00F13BB2" w:rsidP="00F13BB2">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Les pertes en biomasse de </w:t>
      </w:r>
      <w:r w:rsidRPr="0067253E">
        <w:rPr>
          <w:rFonts w:asciiTheme="majorBidi" w:hAnsiTheme="majorBidi" w:cstheme="majorBidi"/>
          <w:i/>
          <w:iCs/>
        </w:rPr>
        <w:t>Streptococcus</w:t>
      </w:r>
      <w:r w:rsidRPr="0067253E">
        <w:rPr>
          <w:rFonts w:asciiTheme="majorBidi" w:hAnsiTheme="majorBidi" w:cstheme="majorBidi"/>
        </w:rPr>
        <w:t xml:space="preserve"> </w:t>
      </w:r>
      <w:r w:rsidRPr="0067253E">
        <w:rPr>
          <w:rFonts w:asciiTheme="majorBidi" w:hAnsiTheme="majorBidi" w:cstheme="majorBidi"/>
          <w:i/>
          <w:iCs/>
        </w:rPr>
        <w:t>thermophilus</w:t>
      </w:r>
      <w:r w:rsidRPr="0067253E">
        <w:rPr>
          <w:rFonts w:asciiTheme="majorBidi" w:hAnsiTheme="majorBidi" w:cstheme="majorBidi"/>
        </w:rPr>
        <w:t xml:space="preserve"> en présence de lactosérum doux et en fin d’entreposage étaient respectivement de l’ordre de 1.83, 1.87, 1.71, 1.9 et 2.06 unités logarithmiques dans le cas de coculture avec les souches BLR, LbRE-LSAS, Bb12, Lba CECT4529 et Lbp CECT748</w:t>
      </w:r>
      <w:r>
        <w:rPr>
          <w:rFonts w:asciiTheme="majorBidi" w:hAnsiTheme="majorBidi" w:cstheme="majorBidi"/>
        </w:rPr>
        <w:t xml:space="preserve"> </w:t>
      </w:r>
      <w:r>
        <w:rPr>
          <w:rFonts w:asciiTheme="majorBidi" w:hAnsiTheme="majorBidi" w:cstheme="majorBidi"/>
          <w:color w:val="3333FF"/>
        </w:rPr>
        <w:t>(figure 13)</w:t>
      </w:r>
      <w:r w:rsidRPr="0067253E">
        <w:rPr>
          <w:rFonts w:asciiTheme="majorBidi" w:hAnsiTheme="majorBidi" w:cstheme="majorBidi"/>
        </w:rPr>
        <w:t>.</w:t>
      </w:r>
    </w:p>
    <w:p w:rsidR="00F13BB2" w:rsidRDefault="00F13BB2" w:rsidP="00F13BB2">
      <w:pPr>
        <w:spacing w:before="0" w:after="0" w:line="360" w:lineRule="auto"/>
        <w:ind w:firstLine="360"/>
        <w:contextualSpacing/>
        <w:jc w:val="both"/>
        <w:rPr>
          <w:rFonts w:asciiTheme="majorBidi" w:hAnsiTheme="majorBidi" w:cstheme="majorBidi"/>
        </w:rPr>
      </w:pPr>
    </w:p>
    <w:p w:rsidR="00F13BB2" w:rsidRDefault="00F13BB2" w:rsidP="00F13BB2">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Pour la bactérie lactique </w:t>
      </w:r>
      <w:r w:rsidRPr="0067253E">
        <w:rPr>
          <w:rFonts w:asciiTheme="majorBidi" w:hAnsiTheme="majorBidi" w:cstheme="majorBidi"/>
          <w:i/>
          <w:iCs/>
        </w:rPr>
        <w:t>Lactobacillus</w:t>
      </w:r>
      <w:r w:rsidRPr="0067253E">
        <w:rPr>
          <w:rFonts w:asciiTheme="majorBidi" w:hAnsiTheme="majorBidi" w:cstheme="majorBidi"/>
        </w:rPr>
        <w:t xml:space="preserve"> </w:t>
      </w:r>
      <w:r w:rsidRPr="0067253E">
        <w:rPr>
          <w:rFonts w:asciiTheme="majorBidi" w:hAnsiTheme="majorBidi" w:cstheme="majorBidi"/>
          <w:i/>
          <w:iCs/>
        </w:rPr>
        <w:t>bulgaricus</w:t>
      </w:r>
      <w:r w:rsidRPr="0067253E">
        <w:rPr>
          <w:rFonts w:asciiTheme="majorBidi" w:hAnsiTheme="majorBidi" w:cstheme="majorBidi"/>
        </w:rPr>
        <w:t xml:space="preserve"> et au 28</w:t>
      </w:r>
      <w:r w:rsidRPr="0067253E">
        <w:rPr>
          <w:rFonts w:asciiTheme="majorBidi" w:hAnsiTheme="majorBidi" w:cstheme="majorBidi"/>
          <w:vertAlign w:val="superscript"/>
        </w:rPr>
        <w:t>ème</w:t>
      </w:r>
      <w:r w:rsidRPr="0067253E">
        <w:rPr>
          <w:rFonts w:asciiTheme="majorBidi" w:hAnsiTheme="majorBidi" w:cstheme="majorBidi"/>
        </w:rPr>
        <w:t xml:space="preserve"> jour d’entreposage à 4°C, les pertes de la biomasse sont comprises entre 1.33 et 1.79 unités logarithmiques et la viabilité entre 79.89 à 85.27%</w:t>
      </w:r>
      <w:r>
        <w:rPr>
          <w:rFonts w:asciiTheme="majorBidi" w:hAnsiTheme="majorBidi" w:cstheme="majorBidi"/>
        </w:rPr>
        <w:t xml:space="preserve"> </w:t>
      </w:r>
      <w:r>
        <w:rPr>
          <w:rFonts w:asciiTheme="majorBidi" w:hAnsiTheme="majorBidi" w:cstheme="majorBidi"/>
          <w:color w:val="3333FF"/>
        </w:rPr>
        <w:t>(figure 14)</w:t>
      </w:r>
      <w:r w:rsidRPr="0067253E">
        <w:rPr>
          <w:rFonts w:asciiTheme="majorBidi" w:hAnsiTheme="majorBidi" w:cstheme="majorBidi"/>
        </w:rPr>
        <w:t>.</w:t>
      </w:r>
    </w:p>
    <w:p w:rsidR="00F13BB2" w:rsidRDefault="00F13BB2"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276" w:lineRule="auto"/>
        <w:ind w:firstLine="0"/>
        <w:rPr>
          <w:rFonts w:asciiTheme="majorBidi" w:hAnsiTheme="majorBidi" w:cstheme="majorBidi"/>
        </w:rPr>
      </w:pPr>
      <w:r>
        <w:rPr>
          <w:rFonts w:asciiTheme="majorBidi" w:hAnsiTheme="majorBidi" w:cstheme="majorBidi"/>
        </w:rPr>
        <w:br w:type="page"/>
      </w:r>
    </w:p>
    <w:p w:rsidR="006C66E7" w:rsidRDefault="006F133D" w:rsidP="006C66E7">
      <w:pPr>
        <w:spacing w:before="0" w:after="0" w:line="276" w:lineRule="auto"/>
        <w:ind w:firstLine="0"/>
        <w:rPr>
          <w:rFonts w:asciiTheme="majorBidi" w:hAnsiTheme="majorBidi" w:cstheme="majorBidi"/>
        </w:rPr>
      </w:pPr>
      <w:r>
        <w:rPr>
          <w:rFonts w:asciiTheme="majorBidi" w:hAnsiTheme="majorBidi" w:cstheme="majorBidi"/>
          <w:noProof/>
          <w:lang w:eastAsia="fr-FR"/>
        </w:rPr>
        <w:lastRenderedPageBreak/>
        <w:pict>
          <v:shape id="_x0000_s2123" type="#_x0000_t202" style="position:absolute;margin-left:13.35pt;margin-top:557.35pt;width:420pt;height:116.25pt;z-index:251735040" strokecolor="white [3212]">
            <v:textbox>
              <w:txbxContent>
                <w:p w:rsidR="00310CA5" w:rsidRPr="009F04F1" w:rsidRDefault="00310CA5" w:rsidP="006C66E7">
                  <w:pPr>
                    <w:ind w:left="993" w:hanging="993"/>
                    <w:jc w:val="both"/>
                    <w:rPr>
                      <w:sz w:val="20"/>
                      <w:szCs w:val="20"/>
                    </w:rPr>
                  </w:pPr>
                  <w:r w:rsidRPr="00CC440C">
                    <w:rPr>
                      <w:rFonts w:ascii="Times New Roman" w:hAnsi="Times New Roman" w:cs="Times New Roman"/>
                      <w:b/>
                      <w:bCs/>
                      <w:sz w:val="20"/>
                      <w:szCs w:val="20"/>
                      <w:u w:val="single"/>
                    </w:rPr>
                    <w:t xml:space="preserve">Figure </w:t>
                  </w:r>
                  <w:r>
                    <w:rPr>
                      <w:rFonts w:ascii="Times New Roman" w:hAnsi="Times New Roman" w:cs="Times New Roman"/>
                      <w:b/>
                      <w:bCs/>
                      <w:sz w:val="20"/>
                      <w:szCs w:val="20"/>
                      <w:u w:val="single"/>
                    </w:rPr>
                    <w:t>11</w:t>
                  </w:r>
                  <w:r w:rsidRPr="009F04F1">
                    <w:rPr>
                      <w:rFonts w:ascii="Times New Roman" w:hAnsi="Times New Roman" w:cs="Times New Roman"/>
                      <w:sz w:val="20"/>
                      <w:szCs w:val="20"/>
                    </w:rPr>
                    <w:t xml:space="preserve">: Evolution </w:t>
                  </w:r>
                  <w:r w:rsidRPr="00CC440C">
                    <w:rPr>
                      <w:rFonts w:ascii="Times New Roman" w:hAnsi="Times New Roman" w:cs="Times New Roman"/>
                      <w:b/>
                      <w:bCs/>
                      <w:sz w:val="20"/>
                      <w:szCs w:val="20"/>
                    </w:rPr>
                    <w:t>post-fermentaire de l’acidité au cours de l’entreposage à +4°C</w:t>
                  </w:r>
                  <w:r>
                    <w:rPr>
                      <w:rFonts w:ascii="Times New Roman" w:hAnsi="Times New Roman" w:cs="Times New Roman"/>
                      <w:sz w:val="20"/>
                      <w:szCs w:val="20"/>
                    </w:rPr>
                    <w:t xml:space="preserve"> du </w:t>
                  </w:r>
                  <w:r w:rsidRPr="009F04F1">
                    <w:rPr>
                      <w:rFonts w:ascii="Times New Roman" w:hAnsi="Times New Roman" w:cs="Times New Roman"/>
                      <w:sz w:val="20"/>
                      <w:szCs w:val="20"/>
                    </w:rPr>
                    <w:t xml:space="preserve">lait fermenté à 37°C par la culture mixte entre une souche </w:t>
                  </w:r>
                  <w:r>
                    <w:rPr>
                      <w:rFonts w:ascii="Times New Roman" w:hAnsi="Times New Roman" w:cs="Times New Roman"/>
                      <w:sz w:val="20"/>
                      <w:szCs w:val="20"/>
                    </w:rPr>
                    <w:t xml:space="preserve">bénéfique </w:t>
                  </w:r>
                  <w:r w:rsidRPr="009F04F1">
                    <w:rPr>
                      <w:rFonts w:ascii="Times New Roman" w:hAnsi="Times New Roman" w:cs="Times New Roman"/>
                      <w:sz w:val="20"/>
                      <w:szCs w:val="20"/>
                    </w:rPr>
                    <w:t>BLR </w:t>
                  </w:r>
                  <w:r w:rsidRPr="009F04F1">
                    <w:rPr>
                      <w:rFonts w:ascii="Times New Roman" w:hAnsi="Times New Roman" w:cs="Times New Roman"/>
                      <w:b/>
                      <w:bCs/>
                      <w:sz w:val="20"/>
                      <w:szCs w:val="20"/>
                    </w:rPr>
                    <w:t>(A)</w:t>
                  </w:r>
                  <w:r w:rsidRPr="009F04F1">
                    <w:rPr>
                      <w:rFonts w:ascii="Times New Roman" w:hAnsi="Times New Roman" w:cs="Times New Roman"/>
                      <w:sz w:val="20"/>
                      <w:szCs w:val="20"/>
                    </w:rPr>
                    <w:t>; LbRE</w:t>
                  </w:r>
                  <w:r>
                    <w:rPr>
                      <w:rFonts w:ascii="Times New Roman" w:hAnsi="Times New Roman" w:cs="Times New Roman"/>
                      <w:sz w:val="20"/>
                      <w:szCs w:val="20"/>
                    </w:rPr>
                    <w:t>-</w:t>
                  </w:r>
                  <w:r w:rsidRPr="009F04F1">
                    <w:rPr>
                      <w:rFonts w:ascii="Times New Roman" w:hAnsi="Times New Roman" w:cs="Times New Roman"/>
                      <w:sz w:val="20"/>
                      <w:szCs w:val="20"/>
                    </w:rPr>
                    <w:t>LSAS </w:t>
                  </w:r>
                  <w:r w:rsidRPr="009F04F1">
                    <w:rPr>
                      <w:rFonts w:ascii="Times New Roman" w:hAnsi="Times New Roman" w:cs="Times New Roman"/>
                      <w:b/>
                      <w:bCs/>
                      <w:sz w:val="20"/>
                      <w:szCs w:val="20"/>
                    </w:rPr>
                    <w:t>(B)</w:t>
                  </w:r>
                  <w:r w:rsidRPr="009F04F1">
                    <w:rPr>
                      <w:rFonts w:ascii="Times New Roman" w:hAnsi="Times New Roman" w:cs="Times New Roman"/>
                      <w:sz w:val="20"/>
                      <w:szCs w:val="20"/>
                    </w:rPr>
                    <w:t>; Bb12 </w:t>
                  </w:r>
                  <w:r w:rsidRPr="009F04F1">
                    <w:rPr>
                      <w:rFonts w:ascii="Times New Roman" w:hAnsi="Times New Roman" w:cs="Times New Roman"/>
                      <w:b/>
                      <w:bCs/>
                      <w:sz w:val="20"/>
                      <w:szCs w:val="20"/>
                    </w:rPr>
                    <w:t>(C)</w:t>
                  </w:r>
                  <w:r w:rsidRPr="009F04F1">
                    <w:rPr>
                      <w:rFonts w:ascii="Times New Roman" w:hAnsi="Times New Roman" w:cs="Times New Roman"/>
                      <w:sz w:val="20"/>
                      <w:szCs w:val="20"/>
                    </w:rPr>
                    <w:t xml:space="preserve">; </w:t>
                  </w:r>
                  <w:r>
                    <w:rPr>
                      <w:rFonts w:ascii="Times New Roman" w:hAnsi="Times New Roman" w:cs="Times New Roman"/>
                      <w:sz w:val="20"/>
                      <w:szCs w:val="20"/>
                    </w:rPr>
                    <w:t xml:space="preserve">Lba </w:t>
                  </w:r>
                  <w:r w:rsidRPr="009F04F1">
                    <w:rPr>
                      <w:rFonts w:ascii="Times New Roman" w:hAnsi="Times New Roman" w:cs="Times New Roman"/>
                      <w:sz w:val="20"/>
                      <w:szCs w:val="20"/>
                    </w:rPr>
                    <w:t xml:space="preserve">CECT4529 </w:t>
                  </w:r>
                  <w:r w:rsidRPr="009F04F1">
                    <w:rPr>
                      <w:rFonts w:ascii="Times New Roman" w:hAnsi="Times New Roman" w:cs="Times New Roman"/>
                      <w:b/>
                      <w:bCs/>
                      <w:sz w:val="20"/>
                      <w:szCs w:val="20"/>
                    </w:rPr>
                    <w:t>(D)</w:t>
                  </w:r>
                  <w:r w:rsidRPr="009F04F1">
                    <w:rPr>
                      <w:rFonts w:ascii="Times New Roman" w:hAnsi="Times New Roman" w:cs="Times New Roman"/>
                      <w:sz w:val="20"/>
                      <w:szCs w:val="20"/>
                    </w:rPr>
                    <w:t xml:space="preserve"> </w:t>
                  </w:r>
                  <w:r>
                    <w:rPr>
                      <w:rFonts w:ascii="Times New Roman" w:hAnsi="Times New Roman" w:cs="Times New Roman"/>
                      <w:sz w:val="20"/>
                      <w:szCs w:val="20"/>
                    </w:rPr>
                    <w:t>ou</w:t>
                  </w:r>
                  <w:r w:rsidRPr="009F04F1">
                    <w:rPr>
                      <w:rFonts w:ascii="Times New Roman" w:hAnsi="Times New Roman" w:cs="Times New Roman"/>
                      <w:sz w:val="20"/>
                      <w:szCs w:val="20"/>
                    </w:rPr>
                    <w:t xml:space="preserve"> </w:t>
                  </w:r>
                  <w:r>
                    <w:rPr>
                      <w:rFonts w:ascii="Times New Roman" w:hAnsi="Times New Roman" w:cs="Times New Roman"/>
                      <w:sz w:val="20"/>
                      <w:szCs w:val="20"/>
                    </w:rPr>
                    <w:t xml:space="preserve">Lbp </w:t>
                  </w:r>
                  <w:r w:rsidRPr="009F04F1">
                    <w:rPr>
                      <w:rFonts w:ascii="Times New Roman" w:hAnsi="Times New Roman" w:cs="Times New Roman"/>
                      <w:sz w:val="20"/>
                      <w:szCs w:val="20"/>
                    </w:rPr>
                    <w:t xml:space="preserve">CECT748 </w:t>
                  </w:r>
                  <w:r w:rsidRPr="009F04F1">
                    <w:rPr>
                      <w:rFonts w:ascii="Times New Roman" w:hAnsi="Times New Roman" w:cs="Times New Roman"/>
                      <w:b/>
                      <w:bCs/>
                      <w:sz w:val="20"/>
                      <w:szCs w:val="20"/>
                    </w:rPr>
                    <w:t>(E)</w:t>
                  </w:r>
                  <w:r w:rsidRPr="009F04F1">
                    <w:rPr>
                      <w:rFonts w:ascii="Times New Roman" w:hAnsi="Times New Roman" w:cs="Times New Roman"/>
                      <w:sz w:val="20"/>
                      <w:szCs w:val="20"/>
                    </w:rPr>
                    <w:t xml:space="preserve"> </w:t>
                  </w:r>
                  <w:r>
                    <w:rPr>
                      <w:rFonts w:ascii="Times New Roman" w:hAnsi="Times New Roman" w:cs="Times New Roman"/>
                      <w:sz w:val="20"/>
                      <w:szCs w:val="20"/>
                    </w:rPr>
                    <w:t xml:space="preserve">avec une souche </w:t>
                  </w:r>
                  <w:r w:rsidRPr="009F04F1">
                    <w:rPr>
                      <w:rFonts w:ascii="Times New Roman" w:hAnsi="Times New Roman" w:cs="Times New Roman"/>
                      <w:i/>
                      <w:iCs/>
                      <w:sz w:val="20"/>
                      <w:szCs w:val="20"/>
                    </w:rPr>
                    <w:t>Streptococcus thermophilus</w:t>
                  </w:r>
                  <w:r w:rsidRPr="009F04F1">
                    <w:rPr>
                      <w:rFonts w:ascii="Times New Roman" w:hAnsi="Times New Roman" w:cs="Times New Roman"/>
                      <w:sz w:val="20"/>
                      <w:szCs w:val="20"/>
                    </w:rPr>
                    <w:t xml:space="preserve"> STB01. </w:t>
                  </w:r>
                  <w:r w:rsidRPr="003468B2">
                    <w:rPr>
                      <w:rFonts w:ascii="Times New Roman" w:hAnsi="Times New Roman" w:cs="Times New Roman"/>
                      <w:sz w:val="20"/>
                      <w:szCs w:val="20"/>
                    </w:rPr>
                    <w:t>Cultures mixtes témoin (</w:t>
                  </w:r>
                  <w:r w:rsidRPr="00C44983">
                    <w:rPr>
                      <w:rFonts w:ascii="Times New Roman" w:hAnsi="Times New Roman" w:cs="Times New Roman"/>
                      <w:noProof/>
                      <w:color w:val="0070C0"/>
                      <w:sz w:val="20"/>
                      <w:szCs w:val="20"/>
                      <w:lang w:eastAsia="fr-FR"/>
                    </w:rPr>
                    <w:t>■</w:t>
                  </w:r>
                  <w:r w:rsidRPr="003468B2">
                    <w:rPr>
                      <w:rFonts w:ascii="Times New Roman" w:hAnsi="Times New Roman" w:cs="Times New Roman"/>
                      <w:sz w:val="20"/>
                      <w:szCs w:val="20"/>
                    </w:rPr>
                    <w:t xml:space="preserve">), cultures mixtes additionnées de 0,53% </w:t>
                  </w:r>
                  <w:r>
                    <w:rPr>
                      <w:rFonts w:ascii="Times New Roman" w:hAnsi="Times New Roman" w:cs="Times New Roman"/>
                      <w:sz w:val="20"/>
                      <w:szCs w:val="20"/>
                    </w:rPr>
                    <w:t xml:space="preserve">(P/V) : </w:t>
                  </w:r>
                  <w:r w:rsidRPr="003468B2">
                    <w:rPr>
                      <w:rFonts w:ascii="Times New Roman" w:hAnsi="Times New Roman" w:cs="Times New Roman"/>
                      <w:sz w:val="20"/>
                      <w:szCs w:val="20"/>
                    </w:rPr>
                    <w:t>de lactosérum doux (</w:t>
                  </w:r>
                  <w:r w:rsidRPr="007A6C8B">
                    <w:rPr>
                      <w:rFonts w:ascii="Times New Roman" w:hAnsi="Times New Roman" w:cs="Times New Roman"/>
                      <w:color w:val="FF9900"/>
                      <w:sz w:val="20"/>
                      <w:szCs w:val="20"/>
                    </w:rPr>
                    <w:t>■</w:t>
                  </w:r>
                  <w:r w:rsidRPr="003468B2">
                    <w:rPr>
                      <w:rFonts w:ascii="Times New Roman" w:hAnsi="Times New Roman" w:cs="Times New Roman"/>
                      <w:sz w:val="20"/>
                      <w:szCs w:val="20"/>
                    </w:rPr>
                    <w:t>), de Promilk 852A2 (</w:t>
                  </w:r>
                  <w:r w:rsidRPr="00C44983">
                    <w:rPr>
                      <w:rFonts w:ascii="Times New Roman" w:hAnsi="Times New Roman" w:cs="Times New Roman"/>
                      <w:color w:val="92D050"/>
                      <w:sz w:val="20"/>
                      <w:szCs w:val="20"/>
                    </w:rPr>
                    <w:t>■</w:t>
                  </w:r>
                  <w:r w:rsidRPr="003468B2">
                    <w:rPr>
                      <w:rFonts w:ascii="Times New Roman" w:hAnsi="Times New Roman" w:cs="Times New Roman"/>
                      <w:sz w:val="20"/>
                      <w:szCs w:val="20"/>
                    </w:rPr>
                    <w:t>),</w:t>
                  </w:r>
                  <w:r>
                    <w:rPr>
                      <w:rFonts w:ascii="Times New Roman" w:hAnsi="Times New Roman" w:cs="Times New Roman"/>
                      <w:sz w:val="20"/>
                      <w:szCs w:val="20"/>
                    </w:rPr>
                    <w:t xml:space="preserve"> </w:t>
                  </w:r>
                  <w:r w:rsidRPr="003468B2">
                    <w:rPr>
                      <w:rFonts w:ascii="Times New Roman" w:hAnsi="Times New Roman" w:cs="Times New Roman"/>
                      <w:sz w:val="20"/>
                      <w:szCs w:val="20"/>
                    </w:rPr>
                    <w:t>de Promilk C502 (</w:t>
                  </w:r>
                  <w:r w:rsidRPr="00C44983">
                    <w:rPr>
                      <w:rFonts w:ascii="Times New Roman" w:hAnsi="Times New Roman" w:cs="Times New Roman"/>
                      <w:color w:val="FF33CC"/>
                      <w:sz w:val="20"/>
                      <w:szCs w:val="20"/>
                    </w:rPr>
                    <w:t>■</w:t>
                  </w:r>
                  <w:r w:rsidRPr="003468B2">
                    <w:rPr>
                      <w:rFonts w:ascii="Times New Roman" w:hAnsi="Times New Roman" w:cs="Times New Roman"/>
                      <w:sz w:val="20"/>
                      <w:szCs w:val="20"/>
                    </w:rPr>
                    <w:t>)</w:t>
                  </w:r>
                  <w:r>
                    <w:rPr>
                      <w:rFonts w:ascii="Times New Roman" w:hAnsi="Times New Roman" w:cs="Times New Roman"/>
                      <w:sz w:val="20"/>
                      <w:szCs w:val="20"/>
                    </w:rPr>
                    <w:t xml:space="preserve"> ou </w:t>
                  </w:r>
                  <w:r w:rsidRPr="003468B2">
                    <w:rPr>
                      <w:rFonts w:ascii="Times New Roman" w:hAnsi="Times New Roman" w:cs="Times New Roman"/>
                      <w:sz w:val="20"/>
                      <w:szCs w:val="20"/>
                    </w:rPr>
                    <w:t>d’hydrolysat de caséine (</w:t>
                  </w:r>
                  <w:r w:rsidRPr="00C44983">
                    <w:rPr>
                      <w:rFonts w:ascii="Times New Roman" w:hAnsi="Times New Roman" w:cs="Times New Roman"/>
                      <w:color w:val="990099"/>
                      <w:sz w:val="20"/>
                      <w:szCs w:val="20"/>
                    </w:rPr>
                    <w:t>■</w:t>
                  </w:r>
                  <w:r>
                    <w:rPr>
                      <w:rFonts w:ascii="Times New Roman" w:hAnsi="Times New Roman" w:cs="Times New Roman"/>
                      <w:sz w:val="20"/>
                      <w:szCs w:val="20"/>
                    </w:rPr>
                    <w:t>)</w:t>
                  </w:r>
                  <w:r w:rsidRPr="009F04F1">
                    <w:rPr>
                      <w:rFonts w:ascii="Times New Roman" w:hAnsi="Times New Roman" w:cs="Times New Roman"/>
                      <w:sz w:val="20"/>
                      <w:szCs w:val="20"/>
                    </w:rPr>
                    <w:t>. Dans toutes les cultures mixtes, l’inoculum est à une concentration finale de 1.10</w:t>
                  </w:r>
                  <w:r w:rsidRPr="009F04F1">
                    <w:rPr>
                      <w:rFonts w:ascii="Times New Roman" w:hAnsi="Times New Roman" w:cs="Times New Roman"/>
                      <w:sz w:val="20"/>
                      <w:szCs w:val="20"/>
                      <w:vertAlign w:val="superscript"/>
                    </w:rPr>
                    <w:t>6</w:t>
                  </w:r>
                  <w:r w:rsidRPr="009F04F1">
                    <w:rPr>
                      <w:rFonts w:ascii="Times New Roman" w:hAnsi="Times New Roman" w:cs="Times New Roman"/>
                      <w:sz w:val="20"/>
                      <w:szCs w:val="20"/>
                    </w:rPr>
                    <w:t xml:space="preserve"> </w:t>
                  </w:r>
                  <w:r>
                    <w:rPr>
                      <w:rFonts w:ascii="Times New Roman" w:hAnsi="Times New Roman" w:cs="Times New Roman"/>
                      <w:sz w:val="20"/>
                      <w:szCs w:val="20"/>
                    </w:rPr>
                    <w:t>(pour les bactéries lactiques) et</w:t>
                  </w:r>
                  <w:r w:rsidRPr="009F04F1">
                    <w:rPr>
                      <w:rFonts w:ascii="Times New Roman" w:hAnsi="Times New Roman" w:cs="Times New Roman"/>
                      <w:sz w:val="20"/>
                      <w:szCs w:val="20"/>
                    </w:rPr>
                    <w:t xml:space="preserve"> 10</w:t>
                  </w:r>
                  <w:r w:rsidRPr="009F04F1">
                    <w:rPr>
                      <w:rFonts w:ascii="Times New Roman" w:hAnsi="Times New Roman" w:cs="Times New Roman"/>
                      <w:sz w:val="20"/>
                      <w:szCs w:val="20"/>
                      <w:vertAlign w:val="superscript"/>
                    </w:rPr>
                    <w:t>7</w:t>
                  </w:r>
                  <w:r w:rsidRPr="009F04F1">
                    <w:rPr>
                      <w:rFonts w:ascii="Times New Roman" w:hAnsi="Times New Roman" w:cs="Times New Roman"/>
                      <w:sz w:val="20"/>
                      <w:szCs w:val="20"/>
                    </w:rPr>
                    <w:t xml:space="preserve"> </w:t>
                  </w:r>
                  <w:r>
                    <w:rPr>
                      <w:rFonts w:ascii="Times New Roman" w:hAnsi="Times New Roman" w:cs="Times New Roman"/>
                      <w:sz w:val="20"/>
                      <w:szCs w:val="20"/>
                    </w:rPr>
                    <w:t xml:space="preserve">(pour les souches probiotiques) </w:t>
                  </w:r>
                  <w:r w:rsidRPr="009F04F1">
                    <w:rPr>
                      <w:rFonts w:ascii="Times New Roman" w:hAnsi="Times New Roman" w:cs="Times New Roman"/>
                      <w:sz w:val="20"/>
                      <w:szCs w:val="20"/>
                    </w:rPr>
                    <w:t>UFC/ml et utilisé à 1% (1 :1). Les valeurs représentent la moyenne (m) de 9 déterminations ±S</w:t>
                  </w:r>
                  <w:r>
                    <w:rPr>
                      <w:rFonts w:ascii="Times New Roman" w:hAnsi="Times New Roman" w:cs="Times New Roman"/>
                      <w:sz w:val="20"/>
                      <w:szCs w:val="20"/>
                    </w:rPr>
                    <w:t>EM</w:t>
                  </w:r>
                  <w:r w:rsidRPr="009F04F1">
                    <w:rPr>
                      <w:rFonts w:ascii="Times New Roman" w:hAnsi="Times New Roman" w:cs="Times New Roman"/>
                      <w:sz w:val="20"/>
                      <w:szCs w:val="20"/>
                    </w:rPr>
                    <w:t xml:space="preserve"> (n</w:t>
                  </w:r>
                  <w:r>
                    <w:rPr>
                      <w:rFonts w:ascii="Times New Roman" w:hAnsi="Times New Roman" w:cs="Times New Roman"/>
                      <w:sz w:val="20"/>
                      <w:szCs w:val="20"/>
                    </w:rPr>
                    <w:t xml:space="preserve"> </w:t>
                  </w:r>
                  <w:r w:rsidRPr="009F04F1">
                    <w:rPr>
                      <w:rFonts w:ascii="Times New Roman" w:hAnsi="Times New Roman" w:cs="Times New Roman"/>
                      <w:sz w:val="20"/>
                      <w:szCs w:val="20"/>
                    </w:rPr>
                    <w:t>=</w:t>
                  </w:r>
                  <w:r>
                    <w:rPr>
                      <w:rFonts w:ascii="Times New Roman" w:hAnsi="Times New Roman" w:cs="Times New Roman"/>
                      <w:sz w:val="20"/>
                      <w:szCs w:val="20"/>
                    </w:rPr>
                    <w:t xml:space="preserve"> </w:t>
                  </w:r>
                  <w:r w:rsidRPr="009F04F1">
                    <w:rPr>
                      <w:rFonts w:ascii="Times New Roman" w:hAnsi="Times New Roman" w:cs="Times New Roman"/>
                      <w:sz w:val="20"/>
                      <w:szCs w:val="20"/>
                    </w:rPr>
                    <w:t xml:space="preserve">9). </w:t>
                  </w:r>
                </w:p>
                <w:p w:rsidR="00310CA5" w:rsidRPr="00A4221F" w:rsidRDefault="00310CA5" w:rsidP="006C66E7"/>
              </w:txbxContent>
            </v:textbox>
          </v:shape>
        </w:pict>
      </w:r>
      <w:r>
        <w:rPr>
          <w:rFonts w:asciiTheme="majorBidi" w:hAnsiTheme="majorBidi" w:cstheme="majorBidi"/>
          <w:noProof/>
          <w:lang w:eastAsia="fr-FR"/>
        </w:rPr>
        <w:pict>
          <v:shape id="_x0000_s2117" type="#_x0000_t202" style="position:absolute;margin-left:2.1pt;margin-top:-11.9pt;width:435.75pt;height:690.75pt;z-index:251728896">
            <v:textbox>
              <w:txbxContent>
                <w:p w:rsidR="00310CA5" w:rsidRDefault="00310CA5" w:rsidP="006C66E7"/>
              </w:txbxContent>
            </v:textbox>
          </v:shape>
        </w:pict>
      </w:r>
      <w:r>
        <w:rPr>
          <w:rFonts w:asciiTheme="majorBidi" w:hAnsiTheme="majorBidi" w:cstheme="majorBidi"/>
          <w:noProof/>
          <w:lang w:eastAsia="fr-FR"/>
        </w:rPr>
        <w:pict>
          <v:shape id="_x0000_s2122" type="#_x0000_t202" style="position:absolute;margin-left:228.6pt;margin-top:374.35pt;width:201pt;height:209.25pt;z-index:251734016" strokecolor="white [3212]">
            <v:textbox>
              <w:txbxContent>
                <w:p w:rsidR="00310CA5" w:rsidRDefault="00310CA5" w:rsidP="006C66E7">
                  <w:pPr>
                    <w:ind w:firstLine="0"/>
                  </w:pPr>
                  <w:r w:rsidRPr="00A4221F">
                    <w:rPr>
                      <w:noProof/>
                      <w:lang w:eastAsia="fr-FR"/>
                    </w:rPr>
                    <w:drawing>
                      <wp:inline distT="0" distB="0" distL="0" distR="0">
                        <wp:extent cx="2360295" cy="2219325"/>
                        <wp:effectExtent l="57150" t="19050" r="20955" b="0"/>
                        <wp:docPr id="736" name="Graphique 73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txbxContent>
            </v:textbox>
          </v:shape>
        </w:pict>
      </w:r>
      <w:r>
        <w:rPr>
          <w:rFonts w:asciiTheme="majorBidi" w:hAnsiTheme="majorBidi" w:cstheme="majorBidi"/>
          <w:noProof/>
          <w:lang w:eastAsia="fr-FR"/>
        </w:rPr>
        <w:pict>
          <v:shape id="_x0000_s2121" type="#_x0000_t202" style="position:absolute;margin-left:9.6pt;margin-top:374.35pt;width:219pt;height:209.25pt;z-index:251732992" strokecolor="white [3212]">
            <v:textbox>
              <w:txbxContent>
                <w:p w:rsidR="00310CA5" w:rsidRDefault="00310CA5" w:rsidP="006C66E7">
                  <w:pPr>
                    <w:ind w:firstLine="0"/>
                  </w:pPr>
                  <w:r w:rsidRPr="00A4221F">
                    <w:rPr>
                      <w:noProof/>
                      <w:lang w:eastAsia="fr-FR"/>
                    </w:rPr>
                    <w:drawing>
                      <wp:inline distT="0" distB="0" distL="0" distR="0">
                        <wp:extent cx="2588895" cy="2133600"/>
                        <wp:effectExtent l="19050" t="19050" r="20955" b="0"/>
                        <wp:docPr id="735" name="Graphique 73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53"/>
                          </a:graphicData>
                        </a:graphic>
                      </wp:inline>
                    </w:drawing>
                  </w:r>
                </w:p>
              </w:txbxContent>
            </v:textbox>
          </v:shape>
        </w:pict>
      </w:r>
      <w:r>
        <w:rPr>
          <w:rFonts w:asciiTheme="majorBidi" w:hAnsiTheme="majorBidi" w:cstheme="majorBidi"/>
          <w:noProof/>
          <w:lang w:eastAsia="fr-FR"/>
        </w:rPr>
        <w:pict>
          <v:shape id="_x0000_s2120" type="#_x0000_t202" style="position:absolute;margin-left:119.1pt;margin-top:181.6pt;width:220.5pt;height:192.75pt;z-index:251731968" strokecolor="white [3212]">
            <v:textbox>
              <w:txbxContent>
                <w:p w:rsidR="00310CA5" w:rsidRDefault="00310CA5" w:rsidP="006C66E7">
                  <w:pPr>
                    <w:ind w:firstLine="0"/>
                  </w:pPr>
                  <w:r w:rsidRPr="00A4221F">
                    <w:rPr>
                      <w:noProof/>
                      <w:lang w:eastAsia="fr-FR"/>
                    </w:rPr>
                    <w:drawing>
                      <wp:inline distT="0" distB="0" distL="0" distR="0">
                        <wp:extent cx="2514600" cy="2209800"/>
                        <wp:effectExtent l="57150" t="19050" r="19050" b="0"/>
                        <wp:docPr id="734" name="Graphique 73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54"/>
                          </a:graphicData>
                        </a:graphic>
                      </wp:inline>
                    </w:drawing>
                  </w:r>
                </w:p>
              </w:txbxContent>
            </v:textbox>
          </v:shape>
        </w:pict>
      </w:r>
      <w:r>
        <w:rPr>
          <w:rFonts w:asciiTheme="majorBidi" w:hAnsiTheme="majorBidi" w:cstheme="majorBidi"/>
          <w:noProof/>
          <w:lang w:eastAsia="fr-FR"/>
        </w:rPr>
        <w:pict>
          <v:shape id="_x0000_s2119" type="#_x0000_t202" style="position:absolute;margin-left:226.35pt;margin-top:3.1pt;width:203.25pt;height:183.75pt;z-index:251730944" strokecolor="white [3212]">
            <v:textbox>
              <w:txbxContent>
                <w:p w:rsidR="00310CA5" w:rsidRPr="00A4221F" w:rsidRDefault="00310CA5" w:rsidP="006C66E7">
                  <w:pPr>
                    <w:ind w:firstLine="0"/>
                  </w:pPr>
                  <w:r w:rsidRPr="00A4221F">
                    <w:rPr>
                      <w:noProof/>
                      <w:lang w:eastAsia="fr-FR"/>
                    </w:rPr>
                    <w:drawing>
                      <wp:inline distT="0" distB="0" distL="0" distR="0">
                        <wp:extent cx="2388870" cy="2124075"/>
                        <wp:effectExtent l="57150" t="19050" r="11430" b="0"/>
                        <wp:docPr id="733" name="Graphique 73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55"/>
                          </a:graphicData>
                        </a:graphic>
                      </wp:inline>
                    </w:drawing>
                  </w:r>
                </w:p>
              </w:txbxContent>
            </v:textbox>
          </v:shape>
        </w:pict>
      </w:r>
      <w:r>
        <w:rPr>
          <w:rFonts w:asciiTheme="majorBidi" w:hAnsiTheme="majorBidi" w:cstheme="majorBidi"/>
          <w:noProof/>
          <w:lang w:eastAsia="fr-FR"/>
        </w:rPr>
        <w:pict>
          <v:shape id="_x0000_s2118" type="#_x0000_t202" style="position:absolute;margin-left:9.6pt;margin-top:3.1pt;width:207pt;height:183.75pt;z-index:251729920" strokecolor="white [3212]">
            <v:textbox>
              <w:txbxContent>
                <w:p w:rsidR="00310CA5" w:rsidRDefault="00310CA5" w:rsidP="006C66E7">
                  <w:pPr>
                    <w:ind w:firstLine="0"/>
                  </w:pPr>
                  <w:r w:rsidRPr="00A4221F">
                    <w:rPr>
                      <w:noProof/>
                      <w:lang w:eastAsia="fr-FR"/>
                    </w:rPr>
                    <w:drawing>
                      <wp:inline distT="0" distB="0" distL="0" distR="0">
                        <wp:extent cx="2436495" cy="2110485"/>
                        <wp:effectExtent l="57150" t="19050" r="20955" b="4065"/>
                        <wp:docPr id="731" name="Graphique 73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56"/>
                          </a:graphicData>
                        </a:graphic>
                      </wp:inline>
                    </w:drawing>
                  </w:r>
                </w:p>
              </w:txbxContent>
            </v:textbox>
          </v:shape>
        </w:pict>
      </w:r>
      <w:r w:rsidR="006C66E7">
        <w:rPr>
          <w:rFonts w:asciiTheme="majorBidi" w:hAnsiTheme="majorBidi" w:cstheme="majorBidi"/>
        </w:rPr>
        <w:br w:type="page"/>
      </w:r>
    </w:p>
    <w:p w:rsidR="006C66E7" w:rsidRDefault="006F133D" w:rsidP="006C66E7">
      <w:pPr>
        <w:spacing w:before="0" w:after="0" w:line="276" w:lineRule="auto"/>
        <w:ind w:firstLine="0"/>
        <w:rPr>
          <w:rFonts w:asciiTheme="majorBidi" w:hAnsiTheme="majorBidi" w:cstheme="majorBidi"/>
        </w:rPr>
      </w:pPr>
      <w:r>
        <w:rPr>
          <w:rFonts w:asciiTheme="majorBidi" w:hAnsiTheme="majorBidi" w:cstheme="majorBidi"/>
          <w:noProof/>
          <w:lang w:eastAsia="fr-FR"/>
        </w:rPr>
        <w:lastRenderedPageBreak/>
        <w:pict>
          <v:shape id="_x0000_s2144" type="#_x0000_t202" style="position:absolute;margin-left:9.6pt;margin-top:570.1pt;width:422.25pt;height:111.75pt;z-index:251756544" strokecolor="white [3212]">
            <v:textbox>
              <w:txbxContent>
                <w:p w:rsidR="00310CA5" w:rsidRPr="00DB2968" w:rsidRDefault="00310CA5" w:rsidP="006C66E7">
                  <w:pPr>
                    <w:ind w:left="851" w:hanging="993"/>
                    <w:jc w:val="both"/>
                    <w:rPr>
                      <w:rFonts w:ascii="Times New Roman" w:hAnsi="Times New Roman" w:cs="Times New Roman"/>
                      <w:sz w:val="20"/>
                      <w:szCs w:val="20"/>
                    </w:rPr>
                  </w:pPr>
                  <w:r w:rsidRPr="001F04E7">
                    <w:rPr>
                      <w:rFonts w:ascii="Times New Roman" w:hAnsi="Times New Roman" w:cs="Times New Roman"/>
                      <w:b/>
                      <w:bCs/>
                      <w:sz w:val="20"/>
                      <w:szCs w:val="20"/>
                      <w:u w:val="single"/>
                    </w:rPr>
                    <w:t>Figure 1</w:t>
                  </w:r>
                  <w:r>
                    <w:rPr>
                      <w:rFonts w:ascii="Times New Roman" w:hAnsi="Times New Roman" w:cs="Times New Roman"/>
                      <w:b/>
                      <w:bCs/>
                      <w:sz w:val="20"/>
                      <w:szCs w:val="20"/>
                      <w:u w:val="single"/>
                    </w:rPr>
                    <w:t>2</w:t>
                  </w:r>
                  <w:r w:rsidRPr="00DB2968">
                    <w:rPr>
                      <w:rFonts w:ascii="Times New Roman" w:hAnsi="Times New Roman" w:cs="Times New Roman"/>
                      <w:sz w:val="20"/>
                      <w:szCs w:val="20"/>
                    </w:rPr>
                    <w:t xml:space="preserve"> : Cinétique </w:t>
                  </w:r>
                  <w:r w:rsidRPr="001F04E7">
                    <w:rPr>
                      <w:rFonts w:ascii="Times New Roman" w:hAnsi="Times New Roman" w:cs="Times New Roman"/>
                      <w:b/>
                      <w:bCs/>
                      <w:sz w:val="20"/>
                      <w:szCs w:val="20"/>
                    </w:rPr>
                    <w:t>de viabilité au cours de l’entreposage à +4°C</w:t>
                  </w:r>
                  <w:r>
                    <w:rPr>
                      <w:rFonts w:ascii="Times New Roman" w:hAnsi="Times New Roman" w:cs="Times New Roman"/>
                      <w:sz w:val="20"/>
                      <w:szCs w:val="20"/>
                    </w:rPr>
                    <w:t xml:space="preserve"> </w:t>
                  </w:r>
                  <w:r w:rsidRPr="00DB2968">
                    <w:rPr>
                      <w:rFonts w:ascii="Times New Roman" w:hAnsi="Times New Roman" w:cs="Times New Roman"/>
                      <w:sz w:val="20"/>
                      <w:szCs w:val="20"/>
                    </w:rPr>
                    <w:t xml:space="preserve">des souches </w:t>
                  </w:r>
                  <w:r>
                    <w:rPr>
                      <w:rFonts w:ascii="Times New Roman" w:hAnsi="Times New Roman" w:cs="Times New Roman"/>
                      <w:sz w:val="20"/>
                      <w:szCs w:val="20"/>
                    </w:rPr>
                    <w:t>bénéf</w:t>
                  </w:r>
                  <w:r w:rsidRPr="00DB2968">
                    <w:rPr>
                      <w:rFonts w:ascii="Times New Roman" w:hAnsi="Times New Roman" w:cs="Times New Roman"/>
                      <w:sz w:val="20"/>
                      <w:szCs w:val="20"/>
                    </w:rPr>
                    <w:t xml:space="preserve">iques </w:t>
                  </w:r>
                  <w:r w:rsidRPr="001F04E7">
                    <w:rPr>
                      <w:rFonts w:ascii="Times New Roman" w:hAnsi="Times New Roman" w:cs="Times New Roman"/>
                      <w:b/>
                      <w:bCs/>
                      <w:sz w:val="20"/>
                      <w:szCs w:val="20"/>
                    </w:rPr>
                    <w:t>BLR</w:t>
                  </w:r>
                  <w:r w:rsidRPr="00DB2968">
                    <w:rPr>
                      <w:rFonts w:ascii="Times New Roman" w:hAnsi="Times New Roman" w:cs="Times New Roman"/>
                      <w:sz w:val="20"/>
                      <w:szCs w:val="20"/>
                    </w:rPr>
                    <w:t> </w:t>
                  </w:r>
                  <w:r w:rsidRPr="00DB2968">
                    <w:rPr>
                      <w:rFonts w:ascii="Times New Roman" w:hAnsi="Times New Roman" w:cs="Times New Roman"/>
                      <w:b/>
                      <w:bCs/>
                      <w:sz w:val="20"/>
                      <w:szCs w:val="20"/>
                    </w:rPr>
                    <w:t>(A)</w:t>
                  </w:r>
                  <w:r w:rsidRPr="00DB2968">
                    <w:rPr>
                      <w:rFonts w:ascii="Times New Roman" w:hAnsi="Times New Roman" w:cs="Times New Roman"/>
                      <w:sz w:val="20"/>
                      <w:szCs w:val="20"/>
                    </w:rPr>
                    <w:t xml:space="preserve">; </w:t>
                  </w:r>
                  <w:r w:rsidRPr="001F04E7">
                    <w:rPr>
                      <w:rFonts w:ascii="Times New Roman" w:hAnsi="Times New Roman" w:cs="Times New Roman"/>
                      <w:b/>
                      <w:bCs/>
                      <w:sz w:val="20"/>
                      <w:szCs w:val="20"/>
                    </w:rPr>
                    <w:t>LbRE-LSAS</w:t>
                  </w:r>
                  <w:r w:rsidRPr="00DB2968">
                    <w:rPr>
                      <w:rFonts w:ascii="Times New Roman" w:hAnsi="Times New Roman" w:cs="Times New Roman"/>
                      <w:sz w:val="20"/>
                      <w:szCs w:val="20"/>
                    </w:rPr>
                    <w:t> </w:t>
                  </w:r>
                  <w:r w:rsidRPr="00DB2968">
                    <w:rPr>
                      <w:rFonts w:ascii="Times New Roman" w:hAnsi="Times New Roman" w:cs="Times New Roman"/>
                      <w:b/>
                      <w:bCs/>
                      <w:sz w:val="20"/>
                      <w:szCs w:val="20"/>
                    </w:rPr>
                    <w:t>(B)</w:t>
                  </w:r>
                  <w:r w:rsidRPr="00DB2968">
                    <w:rPr>
                      <w:rFonts w:ascii="Times New Roman" w:hAnsi="Times New Roman" w:cs="Times New Roman"/>
                      <w:sz w:val="20"/>
                      <w:szCs w:val="20"/>
                    </w:rPr>
                    <w:t xml:space="preserve">; </w:t>
                  </w:r>
                  <w:r w:rsidRPr="001F04E7">
                    <w:rPr>
                      <w:rFonts w:ascii="Times New Roman" w:hAnsi="Times New Roman" w:cs="Times New Roman"/>
                      <w:b/>
                      <w:bCs/>
                      <w:sz w:val="20"/>
                      <w:szCs w:val="20"/>
                    </w:rPr>
                    <w:t>Bb12</w:t>
                  </w:r>
                  <w:r w:rsidRPr="00DB2968">
                    <w:rPr>
                      <w:rFonts w:ascii="Times New Roman" w:hAnsi="Times New Roman" w:cs="Times New Roman"/>
                      <w:sz w:val="20"/>
                      <w:szCs w:val="20"/>
                    </w:rPr>
                    <w:t> </w:t>
                  </w:r>
                  <w:r w:rsidRPr="00DB2968">
                    <w:rPr>
                      <w:rFonts w:ascii="Times New Roman" w:hAnsi="Times New Roman" w:cs="Times New Roman"/>
                      <w:b/>
                      <w:bCs/>
                      <w:sz w:val="20"/>
                      <w:szCs w:val="20"/>
                    </w:rPr>
                    <w:t>(C)</w:t>
                  </w:r>
                  <w:r w:rsidRPr="00DB2968">
                    <w:rPr>
                      <w:rFonts w:ascii="Times New Roman" w:hAnsi="Times New Roman" w:cs="Times New Roman"/>
                      <w:sz w:val="20"/>
                      <w:szCs w:val="20"/>
                    </w:rPr>
                    <w:t xml:space="preserve">; </w:t>
                  </w:r>
                  <w:r w:rsidRPr="001F04E7">
                    <w:rPr>
                      <w:rFonts w:ascii="Times New Roman" w:hAnsi="Times New Roman" w:cs="Times New Roman"/>
                      <w:b/>
                      <w:bCs/>
                      <w:sz w:val="20"/>
                      <w:szCs w:val="20"/>
                    </w:rPr>
                    <w:t>Lba</w:t>
                  </w:r>
                  <w:r>
                    <w:rPr>
                      <w:rFonts w:ascii="Times New Roman" w:hAnsi="Times New Roman" w:cs="Times New Roman"/>
                      <w:b/>
                      <w:bCs/>
                      <w:sz w:val="20"/>
                      <w:szCs w:val="20"/>
                    </w:rPr>
                    <w:t xml:space="preserve"> </w:t>
                  </w:r>
                  <w:r w:rsidRPr="001F04E7">
                    <w:rPr>
                      <w:rFonts w:ascii="Times New Roman" w:hAnsi="Times New Roman" w:cs="Times New Roman"/>
                      <w:b/>
                      <w:bCs/>
                      <w:sz w:val="20"/>
                      <w:szCs w:val="20"/>
                    </w:rPr>
                    <w:t>CECT4529</w:t>
                  </w:r>
                  <w:r w:rsidRPr="00DB2968">
                    <w:rPr>
                      <w:rFonts w:ascii="Times New Roman" w:hAnsi="Times New Roman" w:cs="Times New Roman"/>
                      <w:sz w:val="20"/>
                      <w:szCs w:val="20"/>
                    </w:rPr>
                    <w:t xml:space="preserve"> </w:t>
                  </w:r>
                  <w:r w:rsidRPr="00DB2968">
                    <w:rPr>
                      <w:rFonts w:ascii="Times New Roman" w:hAnsi="Times New Roman" w:cs="Times New Roman"/>
                      <w:b/>
                      <w:bCs/>
                      <w:sz w:val="20"/>
                      <w:szCs w:val="20"/>
                    </w:rPr>
                    <w:t>(D)</w:t>
                  </w:r>
                  <w:r w:rsidRPr="00DB2968">
                    <w:rPr>
                      <w:rFonts w:ascii="Times New Roman" w:hAnsi="Times New Roman" w:cs="Times New Roman"/>
                      <w:sz w:val="20"/>
                      <w:szCs w:val="20"/>
                    </w:rPr>
                    <w:t xml:space="preserve"> </w:t>
                  </w:r>
                  <w:r>
                    <w:rPr>
                      <w:rFonts w:ascii="Times New Roman" w:hAnsi="Times New Roman" w:cs="Times New Roman"/>
                      <w:sz w:val="20"/>
                      <w:szCs w:val="20"/>
                    </w:rPr>
                    <w:t>ou</w:t>
                  </w:r>
                  <w:r w:rsidRPr="00DB2968">
                    <w:rPr>
                      <w:rFonts w:ascii="Times New Roman" w:hAnsi="Times New Roman" w:cs="Times New Roman"/>
                      <w:sz w:val="20"/>
                      <w:szCs w:val="20"/>
                    </w:rPr>
                    <w:t xml:space="preserve"> </w:t>
                  </w:r>
                  <w:r w:rsidRPr="001F04E7">
                    <w:rPr>
                      <w:rFonts w:ascii="Times New Roman" w:hAnsi="Times New Roman" w:cs="Times New Roman"/>
                      <w:b/>
                      <w:bCs/>
                      <w:sz w:val="20"/>
                      <w:szCs w:val="20"/>
                    </w:rPr>
                    <w:t>Lbp</w:t>
                  </w:r>
                  <w:r>
                    <w:rPr>
                      <w:rFonts w:ascii="Times New Roman" w:hAnsi="Times New Roman" w:cs="Times New Roman"/>
                      <w:b/>
                      <w:bCs/>
                      <w:sz w:val="20"/>
                      <w:szCs w:val="20"/>
                    </w:rPr>
                    <w:t xml:space="preserve"> </w:t>
                  </w:r>
                  <w:r w:rsidRPr="001F04E7">
                    <w:rPr>
                      <w:rFonts w:ascii="Times New Roman" w:hAnsi="Times New Roman" w:cs="Times New Roman"/>
                      <w:b/>
                      <w:bCs/>
                      <w:sz w:val="20"/>
                      <w:szCs w:val="20"/>
                    </w:rPr>
                    <w:t>CECT748</w:t>
                  </w:r>
                  <w:r w:rsidRPr="00DB2968">
                    <w:rPr>
                      <w:rFonts w:ascii="Times New Roman" w:hAnsi="Times New Roman" w:cs="Times New Roman"/>
                      <w:sz w:val="20"/>
                      <w:szCs w:val="20"/>
                    </w:rPr>
                    <w:t xml:space="preserve"> </w:t>
                  </w:r>
                  <w:r w:rsidRPr="00DB2968">
                    <w:rPr>
                      <w:rFonts w:ascii="Times New Roman" w:hAnsi="Times New Roman" w:cs="Times New Roman"/>
                      <w:b/>
                      <w:bCs/>
                      <w:sz w:val="20"/>
                      <w:szCs w:val="20"/>
                    </w:rPr>
                    <w:t>(E)</w:t>
                  </w:r>
                  <w:r w:rsidRPr="00DB2968">
                    <w:rPr>
                      <w:rFonts w:ascii="Times New Roman" w:hAnsi="Times New Roman" w:cs="Times New Roman"/>
                      <w:sz w:val="20"/>
                      <w:szCs w:val="20"/>
                    </w:rPr>
                    <w:t xml:space="preserve"> dans</w:t>
                  </w:r>
                  <w:r>
                    <w:rPr>
                      <w:rFonts w:ascii="Times New Roman" w:hAnsi="Times New Roman" w:cs="Times New Roman"/>
                      <w:sz w:val="20"/>
                      <w:szCs w:val="20"/>
                    </w:rPr>
                    <w:t xml:space="preserve"> le</w:t>
                  </w:r>
                  <w:r w:rsidRPr="00DB2968">
                    <w:rPr>
                      <w:rFonts w:ascii="Times New Roman" w:hAnsi="Times New Roman" w:cs="Times New Roman"/>
                      <w:sz w:val="20"/>
                      <w:szCs w:val="20"/>
                    </w:rPr>
                    <w:t xml:space="preserve"> lait fermenté à 37°C en culture mixte avec la souche lactique </w:t>
                  </w:r>
                  <w:r w:rsidRPr="00DB2968">
                    <w:rPr>
                      <w:rFonts w:ascii="Times New Roman" w:hAnsi="Times New Roman" w:cs="Times New Roman"/>
                      <w:i/>
                      <w:iCs/>
                      <w:sz w:val="20"/>
                      <w:szCs w:val="20"/>
                    </w:rPr>
                    <w:t>Streptococcus thermophilus</w:t>
                  </w:r>
                  <w:r w:rsidRPr="00DB2968">
                    <w:rPr>
                      <w:rFonts w:ascii="Times New Roman" w:hAnsi="Times New Roman" w:cs="Times New Roman"/>
                      <w:sz w:val="20"/>
                      <w:szCs w:val="20"/>
                    </w:rPr>
                    <w:t xml:space="preserve"> et </w:t>
                  </w:r>
                  <w:r w:rsidRPr="00DB2968">
                    <w:rPr>
                      <w:rFonts w:ascii="Times New Roman" w:hAnsi="Times New Roman" w:cs="Times New Roman"/>
                      <w:i/>
                      <w:iCs/>
                      <w:sz w:val="20"/>
                      <w:szCs w:val="20"/>
                    </w:rPr>
                    <w:t>Lactobacillus bulgaricus</w:t>
                  </w:r>
                  <w:r w:rsidRPr="00DB2968">
                    <w:rPr>
                      <w:rFonts w:ascii="Times New Roman" w:hAnsi="Times New Roman" w:cs="Times New Roman"/>
                      <w:sz w:val="20"/>
                      <w:szCs w:val="20"/>
                    </w:rPr>
                    <w:t xml:space="preserve">. </w:t>
                  </w:r>
                  <w:r w:rsidRPr="003468B2">
                    <w:rPr>
                      <w:rFonts w:ascii="Times New Roman" w:hAnsi="Times New Roman" w:cs="Times New Roman"/>
                      <w:sz w:val="20"/>
                      <w:szCs w:val="20"/>
                    </w:rPr>
                    <w:t>Cultures mixtes témoin (</w:t>
                  </w:r>
                  <w:r w:rsidRPr="00C44983">
                    <w:rPr>
                      <w:rFonts w:ascii="Times New Roman" w:hAnsi="Times New Roman" w:cs="Times New Roman"/>
                      <w:noProof/>
                      <w:color w:val="0070C0"/>
                      <w:sz w:val="20"/>
                      <w:szCs w:val="20"/>
                      <w:lang w:eastAsia="fr-FR"/>
                    </w:rPr>
                    <w:t>■</w:t>
                  </w:r>
                  <w:r w:rsidRPr="003468B2">
                    <w:rPr>
                      <w:rFonts w:ascii="Times New Roman" w:hAnsi="Times New Roman" w:cs="Times New Roman"/>
                      <w:sz w:val="20"/>
                      <w:szCs w:val="20"/>
                    </w:rPr>
                    <w:t xml:space="preserve">), cultures mixtes additionnées de 0,53% </w:t>
                  </w:r>
                  <w:r>
                    <w:rPr>
                      <w:rFonts w:ascii="Times New Roman" w:hAnsi="Times New Roman" w:cs="Times New Roman"/>
                      <w:sz w:val="20"/>
                      <w:szCs w:val="20"/>
                    </w:rPr>
                    <w:t xml:space="preserve">(P/V) : </w:t>
                  </w:r>
                  <w:r w:rsidRPr="003468B2">
                    <w:rPr>
                      <w:rFonts w:ascii="Times New Roman" w:hAnsi="Times New Roman" w:cs="Times New Roman"/>
                      <w:sz w:val="20"/>
                      <w:szCs w:val="20"/>
                    </w:rPr>
                    <w:t>de lactosérum doux (</w:t>
                  </w:r>
                  <w:r w:rsidRPr="007A6C8B">
                    <w:rPr>
                      <w:rFonts w:ascii="Times New Roman" w:hAnsi="Times New Roman" w:cs="Times New Roman"/>
                      <w:color w:val="FF9900"/>
                      <w:sz w:val="20"/>
                      <w:szCs w:val="20"/>
                    </w:rPr>
                    <w:t>■</w:t>
                  </w:r>
                  <w:r w:rsidRPr="003468B2">
                    <w:rPr>
                      <w:rFonts w:ascii="Times New Roman" w:hAnsi="Times New Roman" w:cs="Times New Roman"/>
                      <w:sz w:val="20"/>
                      <w:szCs w:val="20"/>
                    </w:rPr>
                    <w:t>), de Promilk 852A2 (</w:t>
                  </w:r>
                  <w:r w:rsidRPr="00C44983">
                    <w:rPr>
                      <w:rFonts w:ascii="Times New Roman" w:hAnsi="Times New Roman" w:cs="Times New Roman"/>
                      <w:color w:val="92D050"/>
                      <w:sz w:val="20"/>
                      <w:szCs w:val="20"/>
                    </w:rPr>
                    <w:t>■</w:t>
                  </w:r>
                  <w:r w:rsidRPr="003468B2">
                    <w:rPr>
                      <w:rFonts w:ascii="Times New Roman" w:hAnsi="Times New Roman" w:cs="Times New Roman"/>
                      <w:sz w:val="20"/>
                      <w:szCs w:val="20"/>
                    </w:rPr>
                    <w:t>),</w:t>
                  </w:r>
                  <w:r>
                    <w:rPr>
                      <w:rFonts w:ascii="Times New Roman" w:hAnsi="Times New Roman" w:cs="Times New Roman"/>
                      <w:sz w:val="20"/>
                      <w:szCs w:val="20"/>
                    </w:rPr>
                    <w:t xml:space="preserve"> </w:t>
                  </w:r>
                  <w:r w:rsidRPr="003468B2">
                    <w:rPr>
                      <w:rFonts w:ascii="Times New Roman" w:hAnsi="Times New Roman" w:cs="Times New Roman"/>
                      <w:sz w:val="20"/>
                      <w:szCs w:val="20"/>
                    </w:rPr>
                    <w:t>de Promilk C502 (</w:t>
                  </w:r>
                  <w:r w:rsidRPr="00C44983">
                    <w:rPr>
                      <w:rFonts w:ascii="Times New Roman" w:hAnsi="Times New Roman" w:cs="Times New Roman"/>
                      <w:color w:val="FF33CC"/>
                      <w:sz w:val="20"/>
                      <w:szCs w:val="20"/>
                    </w:rPr>
                    <w:t>■</w:t>
                  </w:r>
                  <w:r w:rsidRPr="003468B2">
                    <w:rPr>
                      <w:rFonts w:ascii="Times New Roman" w:hAnsi="Times New Roman" w:cs="Times New Roman"/>
                      <w:sz w:val="20"/>
                      <w:szCs w:val="20"/>
                    </w:rPr>
                    <w:t>)</w:t>
                  </w:r>
                  <w:r>
                    <w:rPr>
                      <w:rFonts w:ascii="Times New Roman" w:hAnsi="Times New Roman" w:cs="Times New Roman"/>
                      <w:sz w:val="20"/>
                      <w:szCs w:val="20"/>
                    </w:rPr>
                    <w:t xml:space="preserve"> ou </w:t>
                  </w:r>
                  <w:r w:rsidRPr="003468B2">
                    <w:rPr>
                      <w:rFonts w:ascii="Times New Roman" w:hAnsi="Times New Roman" w:cs="Times New Roman"/>
                      <w:sz w:val="20"/>
                      <w:szCs w:val="20"/>
                    </w:rPr>
                    <w:t>d’hydrolysat de caséine (</w:t>
                  </w:r>
                  <w:r w:rsidRPr="00C44983">
                    <w:rPr>
                      <w:rFonts w:ascii="Times New Roman" w:hAnsi="Times New Roman" w:cs="Times New Roman"/>
                      <w:color w:val="990099"/>
                      <w:sz w:val="20"/>
                      <w:szCs w:val="20"/>
                    </w:rPr>
                    <w:t>■</w:t>
                  </w:r>
                  <w:r>
                    <w:rPr>
                      <w:rFonts w:ascii="Times New Roman" w:hAnsi="Times New Roman" w:cs="Times New Roman"/>
                      <w:sz w:val="20"/>
                      <w:szCs w:val="20"/>
                    </w:rPr>
                    <w:t>)</w:t>
                  </w:r>
                  <w:r w:rsidRPr="00DB2968">
                    <w:rPr>
                      <w:rFonts w:ascii="Times New Roman" w:hAnsi="Times New Roman" w:cs="Times New Roman"/>
                      <w:sz w:val="20"/>
                      <w:szCs w:val="20"/>
                    </w:rPr>
                    <w:t>. Dans toutes les cultures mixtes, l’inoculum est à une concentration finale de 10</w:t>
                  </w:r>
                  <w:r w:rsidRPr="00DB2968">
                    <w:rPr>
                      <w:rFonts w:ascii="Times New Roman" w:hAnsi="Times New Roman" w:cs="Times New Roman"/>
                      <w:sz w:val="20"/>
                      <w:szCs w:val="20"/>
                      <w:vertAlign w:val="superscript"/>
                    </w:rPr>
                    <w:t>7</w:t>
                  </w:r>
                  <w:r w:rsidRPr="00DB2968">
                    <w:rPr>
                      <w:rFonts w:ascii="Times New Roman" w:hAnsi="Times New Roman" w:cs="Times New Roman"/>
                      <w:sz w:val="20"/>
                      <w:szCs w:val="20"/>
                    </w:rPr>
                    <w:t xml:space="preserve"> UFC/ml et utilisé à 1% (1 :1). Les valeurs représentent la moyenne (m) de 9 déterminations ±S</w:t>
                  </w:r>
                  <w:r>
                    <w:rPr>
                      <w:rFonts w:ascii="Times New Roman" w:hAnsi="Times New Roman" w:cs="Times New Roman"/>
                      <w:sz w:val="20"/>
                      <w:szCs w:val="20"/>
                    </w:rPr>
                    <w:t>EM</w:t>
                  </w:r>
                  <w:r w:rsidRPr="00DB2968">
                    <w:rPr>
                      <w:rFonts w:ascii="Times New Roman" w:hAnsi="Times New Roman" w:cs="Times New Roman"/>
                      <w:sz w:val="20"/>
                      <w:szCs w:val="20"/>
                    </w:rPr>
                    <w:t xml:space="preserve"> (n</w:t>
                  </w:r>
                  <w:r>
                    <w:rPr>
                      <w:rFonts w:ascii="Times New Roman" w:hAnsi="Times New Roman" w:cs="Times New Roman"/>
                      <w:sz w:val="20"/>
                      <w:szCs w:val="20"/>
                    </w:rPr>
                    <w:t xml:space="preserve"> </w:t>
                  </w:r>
                  <w:r w:rsidRPr="00DB2968">
                    <w:rPr>
                      <w:rFonts w:ascii="Times New Roman" w:hAnsi="Times New Roman" w:cs="Times New Roman"/>
                      <w:sz w:val="20"/>
                      <w:szCs w:val="20"/>
                    </w:rPr>
                    <w:t>=</w:t>
                  </w:r>
                  <w:r>
                    <w:rPr>
                      <w:rFonts w:ascii="Times New Roman" w:hAnsi="Times New Roman" w:cs="Times New Roman"/>
                      <w:sz w:val="20"/>
                      <w:szCs w:val="20"/>
                    </w:rPr>
                    <w:t xml:space="preserve"> </w:t>
                  </w:r>
                  <w:r w:rsidRPr="00DB2968">
                    <w:rPr>
                      <w:rFonts w:ascii="Times New Roman" w:hAnsi="Times New Roman" w:cs="Times New Roman"/>
                      <w:sz w:val="20"/>
                      <w:szCs w:val="20"/>
                    </w:rPr>
                    <w:t>9).</w:t>
                  </w:r>
                </w:p>
                <w:p w:rsidR="00310CA5" w:rsidRDefault="00310CA5" w:rsidP="006C66E7"/>
              </w:txbxContent>
            </v:textbox>
          </v:shape>
        </w:pict>
      </w:r>
      <w:r>
        <w:rPr>
          <w:rFonts w:asciiTheme="majorBidi" w:hAnsiTheme="majorBidi" w:cstheme="majorBidi"/>
          <w:noProof/>
          <w:lang w:eastAsia="fr-FR"/>
        </w:rPr>
        <w:pict>
          <v:shape id="_x0000_s2138" type="#_x0000_t202" style="position:absolute;margin-left:.6pt;margin-top:-9.65pt;width:439.5pt;height:697.5pt;z-index:251750400">
            <v:textbox>
              <w:txbxContent>
                <w:p w:rsidR="00310CA5" w:rsidRDefault="00310CA5" w:rsidP="006C66E7"/>
              </w:txbxContent>
            </v:textbox>
          </v:shape>
        </w:pict>
      </w:r>
      <w:r>
        <w:rPr>
          <w:rFonts w:asciiTheme="majorBidi" w:hAnsiTheme="majorBidi" w:cstheme="majorBidi"/>
          <w:noProof/>
          <w:lang w:eastAsia="fr-FR"/>
        </w:rPr>
        <w:pict>
          <v:shape id="_x0000_s2143" type="#_x0000_t202" style="position:absolute;margin-left:226.35pt;margin-top:381.1pt;width:205.5pt;height:195pt;z-index:251755520" strokecolor="white [3212]">
            <v:textbox>
              <w:txbxContent>
                <w:p w:rsidR="00310CA5" w:rsidRPr="006D0717" w:rsidRDefault="00310CA5" w:rsidP="006C66E7">
                  <w:pPr>
                    <w:ind w:firstLine="0"/>
                  </w:pPr>
                  <w:r w:rsidRPr="006D0717">
                    <w:rPr>
                      <w:noProof/>
                      <w:lang w:eastAsia="fr-FR"/>
                    </w:rPr>
                    <w:drawing>
                      <wp:inline distT="0" distB="0" distL="0" distR="0">
                        <wp:extent cx="2390775" cy="2238375"/>
                        <wp:effectExtent l="57150" t="19050" r="9525" b="0"/>
                        <wp:docPr id="892" name="Graphique 89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57"/>
                          </a:graphicData>
                        </a:graphic>
                      </wp:inline>
                    </w:drawing>
                  </w:r>
                </w:p>
              </w:txbxContent>
            </v:textbox>
          </v:shape>
        </w:pict>
      </w:r>
      <w:r>
        <w:rPr>
          <w:rFonts w:asciiTheme="majorBidi" w:hAnsiTheme="majorBidi" w:cstheme="majorBidi"/>
          <w:noProof/>
          <w:lang w:eastAsia="fr-FR"/>
        </w:rPr>
        <w:pict>
          <v:shape id="_x0000_s2142" type="#_x0000_t202" style="position:absolute;margin-left:5.85pt;margin-top:381.1pt;width:228.75pt;height:195pt;z-index:251754496" strokecolor="white [3212]">
            <v:textbox>
              <w:txbxContent>
                <w:p w:rsidR="00310CA5" w:rsidRDefault="00310CA5" w:rsidP="006C66E7">
                  <w:pPr>
                    <w:ind w:firstLine="0"/>
                  </w:pPr>
                  <w:r w:rsidRPr="006D0717">
                    <w:rPr>
                      <w:noProof/>
                      <w:lang w:eastAsia="fr-FR"/>
                    </w:rPr>
                    <w:drawing>
                      <wp:inline distT="0" distB="0" distL="0" distR="0">
                        <wp:extent cx="2600325" cy="2238375"/>
                        <wp:effectExtent l="57150" t="19050" r="9525" b="0"/>
                        <wp:docPr id="891" name="Graphique 89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58"/>
                          </a:graphicData>
                        </a:graphic>
                      </wp:inline>
                    </w:drawing>
                  </w:r>
                </w:p>
              </w:txbxContent>
            </v:textbox>
          </v:shape>
        </w:pict>
      </w:r>
      <w:r>
        <w:rPr>
          <w:rFonts w:asciiTheme="majorBidi" w:hAnsiTheme="majorBidi" w:cstheme="majorBidi"/>
          <w:noProof/>
          <w:lang w:eastAsia="fr-FR"/>
        </w:rPr>
        <w:pict>
          <v:shape id="_x0000_s2141" type="#_x0000_t202" style="position:absolute;margin-left:117.6pt;margin-top:183.85pt;width:217.5pt;height:197.25pt;z-index:251753472" strokecolor="white [3212]">
            <v:textbox>
              <w:txbxContent>
                <w:p w:rsidR="00310CA5" w:rsidRPr="006D0717" w:rsidRDefault="00310CA5" w:rsidP="006C66E7">
                  <w:pPr>
                    <w:ind w:firstLine="0"/>
                  </w:pPr>
                  <w:r w:rsidRPr="006D0717">
                    <w:rPr>
                      <w:noProof/>
                      <w:lang w:eastAsia="fr-FR"/>
                    </w:rPr>
                    <w:drawing>
                      <wp:inline distT="0" distB="0" distL="0" distR="0">
                        <wp:extent cx="2569845" cy="2252020"/>
                        <wp:effectExtent l="57150" t="19050" r="20955" b="0"/>
                        <wp:docPr id="890" name="Graphique 89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59"/>
                          </a:graphicData>
                        </a:graphic>
                      </wp:inline>
                    </w:drawing>
                  </w:r>
                </w:p>
              </w:txbxContent>
            </v:textbox>
          </v:shape>
        </w:pict>
      </w:r>
      <w:r>
        <w:rPr>
          <w:rFonts w:asciiTheme="majorBidi" w:hAnsiTheme="majorBidi" w:cstheme="majorBidi"/>
          <w:noProof/>
          <w:lang w:eastAsia="fr-FR"/>
        </w:rPr>
        <w:pict>
          <v:shape id="_x0000_s2140" type="#_x0000_t202" style="position:absolute;margin-left:219.6pt;margin-top:3.85pt;width:206.25pt;height:184.5pt;z-index:251752448" strokecolor="white [3212]">
            <v:textbox>
              <w:txbxContent>
                <w:p w:rsidR="00310CA5" w:rsidRPr="006D0717" w:rsidRDefault="00310CA5" w:rsidP="006C66E7">
                  <w:pPr>
                    <w:ind w:firstLine="0"/>
                  </w:pPr>
                  <w:r w:rsidRPr="006D0717">
                    <w:rPr>
                      <w:noProof/>
                      <w:lang w:eastAsia="fr-FR"/>
                    </w:rPr>
                    <w:drawing>
                      <wp:inline distT="0" distB="0" distL="0" distR="0">
                        <wp:extent cx="2400300" cy="2114550"/>
                        <wp:effectExtent l="57150" t="0" r="19050" b="0"/>
                        <wp:docPr id="889" name="Graphique 88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60"/>
                          </a:graphicData>
                        </a:graphic>
                      </wp:inline>
                    </w:drawing>
                  </w:r>
                </w:p>
              </w:txbxContent>
            </v:textbox>
          </v:shape>
        </w:pict>
      </w:r>
      <w:r>
        <w:rPr>
          <w:rFonts w:asciiTheme="majorBidi" w:hAnsiTheme="majorBidi" w:cstheme="majorBidi"/>
          <w:noProof/>
          <w:lang w:eastAsia="fr-FR"/>
        </w:rPr>
        <w:pict>
          <v:shape id="_x0000_s2139" type="#_x0000_t202" style="position:absolute;margin-left:5.85pt;margin-top:3.85pt;width:213.75pt;height:184.5pt;z-index:251751424" strokecolor="white [3212]">
            <v:textbox>
              <w:txbxContent>
                <w:p w:rsidR="00310CA5" w:rsidRDefault="00310CA5" w:rsidP="006C66E7">
                  <w:pPr>
                    <w:ind w:firstLine="0"/>
                  </w:pPr>
                  <w:r w:rsidRPr="006D0717">
                    <w:rPr>
                      <w:noProof/>
                      <w:lang w:eastAsia="fr-FR"/>
                    </w:rPr>
                    <w:drawing>
                      <wp:inline distT="0" distB="0" distL="0" distR="0">
                        <wp:extent cx="2522220" cy="2095500"/>
                        <wp:effectExtent l="19050" t="19050" r="11430" b="0"/>
                        <wp:docPr id="887" name="Graphique 88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61"/>
                          </a:graphicData>
                        </a:graphic>
                      </wp:inline>
                    </w:drawing>
                  </w:r>
                </w:p>
              </w:txbxContent>
            </v:textbox>
          </v:shape>
        </w:pict>
      </w:r>
      <w:r w:rsidR="006C66E7">
        <w:rPr>
          <w:rFonts w:asciiTheme="majorBidi" w:hAnsiTheme="majorBidi" w:cstheme="majorBidi"/>
        </w:rPr>
        <w:br w:type="page"/>
      </w:r>
    </w:p>
    <w:p w:rsidR="006C66E7" w:rsidRPr="0067253E" w:rsidRDefault="006F133D" w:rsidP="006C66E7">
      <w:pPr>
        <w:spacing w:before="0" w:after="0" w:line="360" w:lineRule="auto"/>
        <w:ind w:firstLine="360"/>
        <w:contextualSpacing/>
        <w:jc w:val="both"/>
        <w:rPr>
          <w:rFonts w:asciiTheme="majorBidi" w:hAnsiTheme="majorBidi" w:cstheme="majorBidi"/>
        </w:rPr>
      </w:pPr>
      <w:r>
        <w:rPr>
          <w:rFonts w:asciiTheme="majorBidi" w:hAnsiTheme="majorBidi" w:cstheme="majorBidi"/>
          <w:noProof/>
          <w:lang w:eastAsia="fr-FR"/>
        </w:rPr>
        <w:lastRenderedPageBreak/>
        <w:pict>
          <v:shape id="_x0000_s2124" type="#_x0000_t202" style="position:absolute;left:0;text-align:left;margin-left:-.9pt;margin-top:-8.9pt;width:437.25pt;height:690.75pt;z-index:251736064">
            <v:textbox>
              <w:txbxContent>
                <w:p w:rsidR="00310CA5" w:rsidRDefault="00310CA5" w:rsidP="006C66E7"/>
              </w:txbxContent>
            </v:textbox>
          </v:shape>
        </w:pict>
      </w:r>
      <w:r>
        <w:rPr>
          <w:rFonts w:asciiTheme="majorBidi" w:hAnsiTheme="majorBidi" w:cstheme="majorBidi"/>
          <w:noProof/>
          <w:lang w:eastAsia="fr-FR"/>
        </w:rPr>
        <w:pict>
          <v:shape id="_x0000_s2126" type="#_x0000_t202" style="position:absolute;left:0;text-align:left;margin-left:218.85pt;margin-top:5.35pt;width:211.5pt;height:188.25pt;z-index:251738112" strokecolor="white [3212]">
            <v:textbox>
              <w:txbxContent>
                <w:p w:rsidR="00310CA5" w:rsidRDefault="00310CA5" w:rsidP="006C66E7">
                  <w:pPr>
                    <w:ind w:firstLine="0"/>
                  </w:pPr>
                  <w:r w:rsidRPr="009E0987">
                    <w:rPr>
                      <w:noProof/>
                      <w:lang w:eastAsia="fr-FR"/>
                    </w:rPr>
                    <w:drawing>
                      <wp:inline distT="0" distB="0" distL="0" distR="0">
                        <wp:extent cx="2436495" cy="2067560"/>
                        <wp:effectExtent l="57150" t="19050" r="20955" b="8890"/>
                        <wp:docPr id="895" name="Graphique 89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62"/>
                          </a:graphicData>
                        </a:graphic>
                      </wp:inline>
                    </w:drawing>
                  </w:r>
                </w:p>
              </w:txbxContent>
            </v:textbox>
          </v:shape>
        </w:pict>
      </w:r>
      <w:r>
        <w:rPr>
          <w:rFonts w:asciiTheme="majorBidi" w:hAnsiTheme="majorBidi" w:cstheme="majorBidi"/>
          <w:noProof/>
          <w:lang w:eastAsia="fr-FR"/>
        </w:rPr>
        <w:pict>
          <v:shape id="_x0000_s2125" type="#_x0000_t202" style="position:absolute;left:0;text-align:left;margin-left:5.1pt;margin-top:5.35pt;width:213.75pt;height:183.75pt;z-index:251737088" strokecolor="white [3212]">
            <v:textbox>
              <w:txbxContent>
                <w:p w:rsidR="00310CA5" w:rsidRDefault="00310CA5" w:rsidP="006C66E7">
                  <w:pPr>
                    <w:ind w:firstLine="0"/>
                  </w:pPr>
                  <w:r w:rsidRPr="009E0987">
                    <w:rPr>
                      <w:noProof/>
                      <w:lang w:eastAsia="fr-FR"/>
                    </w:rPr>
                    <w:drawing>
                      <wp:inline distT="0" distB="0" distL="0" distR="0">
                        <wp:extent cx="2438400" cy="2067560"/>
                        <wp:effectExtent l="38100" t="19050" r="19050" b="8890"/>
                        <wp:docPr id="894" name="Graphique 89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63"/>
                          </a:graphicData>
                        </a:graphic>
                      </wp:inline>
                    </w:drawing>
                  </w:r>
                </w:p>
              </w:txbxContent>
            </v:textbox>
          </v:shape>
        </w:pict>
      </w:r>
    </w:p>
    <w:p w:rsidR="006C66E7" w:rsidRDefault="006F133D" w:rsidP="006C66E7">
      <w:pPr>
        <w:spacing w:before="0" w:after="0" w:line="276" w:lineRule="auto"/>
        <w:ind w:firstLine="0"/>
        <w:rPr>
          <w:rFonts w:asciiTheme="majorBidi" w:hAnsiTheme="majorBidi" w:cstheme="majorBidi"/>
        </w:rPr>
      </w:pPr>
      <w:r>
        <w:rPr>
          <w:rFonts w:asciiTheme="majorBidi" w:hAnsiTheme="majorBidi" w:cstheme="majorBidi"/>
          <w:noProof/>
          <w:lang w:eastAsia="fr-FR"/>
        </w:rPr>
        <w:pict>
          <v:shape id="_x0000_s2130" type="#_x0000_t202" style="position:absolute;margin-left:14.1pt;margin-top:538.15pt;width:416.25pt;height:114pt;z-index:251742208" strokecolor="white [3212]">
            <v:textbox>
              <w:txbxContent>
                <w:p w:rsidR="00310CA5" w:rsidRPr="00150FC3" w:rsidRDefault="00310CA5" w:rsidP="006C66E7">
                  <w:pPr>
                    <w:ind w:left="993" w:hanging="1135"/>
                    <w:jc w:val="both"/>
                    <w:rPr>
                      <w:rFonts w:ascii="Times New Roman" w:hAnsi="Times New Roman" w:cs="Times New Roman"/>
                      <w:sz w:val="20"/>
                      <w:szCs w:val="20"/>
                    </w:rPr>
                  </w:pPr>
                  <w:r w:rsidRPr="00A1575D">
                    <w:rPr>
                      <w:rFonts w:ascii="Times New Roman" w:hAnsi="Times New Roman" w:cs="Times New Roman"/>
                      <w:b/>
                      <w:bCs/>
                      <w:sz w:val="20"/>
                      <w:szCs w:val="20"/>
                      <w:u w:val="single"/>
                    </w:rPr>
                    <w:t>Figure 13</w:t>
                  </w:r>
                  <w:r w:rsidRPr="00150FC3">
                    <w:rPr>
                      <w:rFonts w:ascii="Times New Roman" w:hAnsi="Times New Roman" w:cs="Times New Roman"/>
                      <w:sz w:val="20"/>
                      <w:szCs w:val="20"/>
                    </w:rPr>
                    <w:t xml:space="preserve"> : Cinétique </w:t>
                  </w:r>
                  <w:r w:rsidRPr="00A1575D">
                    <w:rPr>
                      <w:rFonts w:ascii="Times New Roman" w:hAnsi="Times New Roman" w:cs="Times New Roman"/>
                      <w:b/>
                      <w:bCs/>
                      <w:sz w:val="20"/>
                      <w:szCs w:val="20"/>
                    </w:rPr>
                    <w:t>de viabilité</w:t>
                  </w:r>
                  <w:r w:rsidRPr="00150FC3">
                    <w:rPr>
                      <w:rFonts w:ascii="Times New Roman" w:hAnsi="Times New Roman" w:cs="Times New Roman"/>
                      <w:sz w:val="20"/>
                      <w:szCs w:val="20"/>
                    </w:rPr>
                    <w:t xml:space="preserve"> </w:t>
                  </w:r>
                  <w:r w:rsidRPr="00A1575D">
                    <w:rPr>
                      <w:rFonts w:ascii="Times New Roman" w:hAnsi="Times New Roman" w:cs="Times New Roman"/>
                      <w:b/>
                      <w:bCs/>
                      <w:sz w:val="20"/>
                      <w:szCs w:val="20"/>
                    </w:rPr>
                    <w:t>au cours de l’entreposage à +4°C</w:t>
                  </w:r>
                  <w:r>
                    <w:rPr>
                      <w:rFonts w:ascii="Times New Roman" w:hAnsi="Times New Roman" w:cs="Times New Roman"/>
                      <w:sz w:val="20"/>
                      <w:szCs w:val="20"/>
                    </w:rPr>
                    <w:t xml:space="preserve"> </w:t>
                  </w:r>
                  <w:r w:rsidRPr="00150FC3">
                    <w:rPr>
                      <w:rFonts w:ascii="Times New Roman" w:hAnsi="Times New Roman" w:cs="Times New Roman"/>
                      <w:sz w:val="20"/>
                      <w:szCs w:val="20"/>
                    </w:rPr>
                    <w:t xml:space="preserve">de la souche lactique </w:t>
                  </w:r>
                  <w:r w:rsidRPr="00A1575D">
                    <w:rPr>
                      <w:rFonts w:ascii="Times New Roman" w:hAnsi="Times New Roman" w:cs="Times New Roman"/>
                      <w:b/>
                      <w:bCs/>
                      <w:i/>
                      <w:iCs/>
                      <w:sz w:val="20"/>
                      <w:szCs w:val="20"/>
                    </w:rPr>
                    <w:t>Streptococcus thermophilus</w:t>
                  </w:r>
                  <w:r w:rsidRPr="00150FC3">
                    <w:rPr>
                      <w:rFonts w:ascii="Times New Roman" w:hAnsi="Times New Roman" w:cs="Times New Roman"/>
                      <w:sz w:val="20"/>
                      <w:szCs w:val="20"/>
                    </w:rPr>
                    <w:t xml:space="preserve"> dans </w:t>
                  </w:r>
                  <w:r>
                    <w:rPr>
                      <w:rFonts w:ascii="Times New Roman" w:hAnsi="Times New Roman" w:cs="Times New Roman"/>
                      <w:sz w:val="20"/>
                      <w:szCs w:val="20"/>
                    </w:rPr>
                    <w:t xml:space="preserve">le </w:t>
                  </w:r>
                  <w:r w:rsidRPr="00150FC3">
                    <w:rPr>
                      <w:rFonts w:ascii="Times New Roman" w:hAnsi="Times New Roman" w:cs="Times New Roman"/>
                      <w:sz w:val="20"/>
                      <w:szCs w:val="20"/>
                    </w:rPr>
                    <w:t xml:space="preserve">lait fermenté à 37°C en culture mixte avec </w:t>
                  </w:r>
                  <w:r w:rsidRPr="00150FC3">
                    <w:rPr>
                      <w:rFonts w:ascii="Times New Roman" w:hAnsi="Times New Roman" w:cs="Times New Roman"/>
                      <w:i/>
                      <w:iCs/>
                      <w:sz w:val="20"/>
                      <w:szCs w:val="20"/>
                    </w:rPr>
                    <w:t>Lactobacillus bulgaricus</w:t>
                  </w:r>
                  <w:r w:rsidRPr="00150FC3">
                    <w:rPr>
                      <w:rFonts w:ascii="Times New Roman" w:hAnsi="Times New Roman" w:cs="Times New Roman"/>
                      <w:sz w:val="20"/>
                      <w:szCs w:val="20"/>
                    </w:rPr>
                    <w:t xml:space="preserve"> et une souche </w:t>
                  </w:r>
                  <w:r>
                    <w:rPr>
                      <w:rFonts w:ascii="Times New Roman" w:hAnsi="Times New Roman" w:cs="Times New Roman"/>
                      <w:sz w:val="20"/>
                      <w:szCs w:val="20"/>
                    </w:rPr>
                    <w:t>bénéf</w:t>
                  </w:r>
                  <w:r w:rsidRPr="00150FC3">
                    <w:rPr>
                      <w:rFonts w:ascii="Times New Roman" w:hAnsi="Times New Roman" w:cs="Times New Roman"/>
                      <w:sz w:val="20"/>
                      <w:szCs w:val="20"/>
                    </w:rPr>
                    <w:t>ique BLR </w:t>
                  </w:r>
                  <w:r w:rsidRPr="00150FC3">
                    <w:rPr>
                      <w:rFonts w:ascii="Times New Roman" w:hAnsi="Times New Roman" w:cs="Times New Roman"/>
                      <w:b/>
                      <w:bCs/>
                      <w:sz w:val="20"/>
                      <w:szCs w:val="20"/>
                    </w:rPr>
                    <w:t>(A)</w:t>
                  </w:r>
                  <w:r w:rsidRPr="00150FC3">
                    <w:rPr>
                      <w:rFonts w:ascii="Times New Roman" w:hAnsi="Times New Roman" w:cs="Times New Roman"/>
                      <w:sz w:val="20"/>
                      <w:szCs w:val="20"/>
                    </w:rPr>
                    <w:t>; LbRE</w:t>
                  </w:r>
                  <w:r>
                    <w:rPr>
                      <w:rFonts w:ascii="Times New Roman" w:hAnsi="Times New Roman" w:cs="Times New Roman"/>
                      <w:sz w:val="20"/>
                      <w:szCs w:val="20"/>
                    </w:rPr>
                    <w:t>-</w:t>
                  </w:r>
                  <w:r w:rsidRPr="00150FC3">
                    <w:rPr>
                      <w:rFonts w:ascii="Times New Roman" w:hAnsi="Times New Roman" w:cs="Times New Roman"/>
                      <w:sz w:val="20"/>
                      <w:szCs w:val="20"/>
                    </w:rPr>
                    <w:t>LSAS </w:t>
                  </w:r>
                  <w:r w:rsidRPr="00150FC3">
                    <w:rPr>
                      <w:rFonts w:ascii="Times New Roman" w:hAnsi="Times New Roman" w:cs="Times New Roman"/>
                      <w:b/>
                      <w:bCs/>
                      <w:sz w:val="20"/>
                      <w:szCs w:val="20"/>
                    </w:rPr>
                    <w:t>(B)</w:t>
                  </w:r>
                  <w:r w:rsidRPr="00150FC3">
                    <w:rPr>
                      <w:rFonts w:ascii="Times New Roman" w:hAnsi="Times New Roman" w:cs="Times New Roman"/>
                      <w:sz w:val="20"/>
                      <w:szCs w:val="20"/>
                    </w:rPr>
                    <w:t>; Bb12 </w:t>
                  </w:r>
                  <w:r w:rsidRPr="00150FC3">
                    <w:rPr>
                      <w:rFonts w:ascii="Times New Roman" w:hAnsi="Times New Roman" w:cs="Times New Roman"/>
                      <w:b/>
                      <w:bCs/>
                      <w:sz w:val="20"/>
                      <w:szCs w:val="20"/>
                    </w:rPr>
                    <w:t>(C)</w:t>
                  </w:r>
                  <w:r w:rsidRPr="00150FC3">
                    <w:rPr>
                      <w:rFonts w:ascii="Times New Roman" w:hAnsi="Times New Roman" w:cs="Times New Roman"/>
                      <w:sz w:val="20"/>
                      <w:szCs w:val="20"/>
                    </w:rPr>
                    <w:t xml:space="preserve">; </w:t>
                  </w:r>
                  <w:r>
                    <w:rPr>
                      <w:rFonts w:ascii="Times New Roman" w:hAnsi="Times New Roman" w:cs="Times New Roman"/>
                      <w:sz w:val="20"/>
                      <w:szCs w:val="20"/>
                    </w:rPr>
                    <w:t xml:space="preserve">Lba </w:t>
                  </w:r>
                  <w:r w:rsidRPr="00150FC3">
                    <w:rPr>
                      <w:rFonts w:ascii="Times New Roman" w:hAnsi="Times New Roman" w:cs="Times New Roman"/>
                      <w:sz w:val="20"/>
                      <w:szCs w:val="20"/>
                    </w:rPr>
                    <w:t xml:space="preserve">CECT4529 </w:t>
                  </w:r>
                  <w:r w:rsidRPr="00150FC3">
                    <w:rPr>
                      <w:rFonts w:ascii="Times New Roman" w:hAnsi="Times New Roman" w:cs="Times New Roman"/>
                      <w:b/>
                      <w:bCs/>
                      <w:sz w:val="20"/>
                      <w:szCs w:val="20"/>
                    </w:rPr>
                    <w:t>(D)</w:t>
                  </w:r>
                  <w:r w:rsidRPr="00150FC3">
                    <w:rPr>
                      <w:rFonts w:ascii="Times New Roman" w:hAnsi="Times New Roman" w:cs="Times New Roman"/>
                      <w:sz w:val="20"/>
                      <w:szCs w:val="20"/>
                    </w:rPr>
                    <w:t xml:space="preserve"> </w:t>
                  </w:r>
                  <w:r>
                    <w:rPr>
                      <w:rFonts w:ascii="Times New Roman" w:hAnsi="Times New Roman" w:cs="Times New Roman"/>
                      <w:sz w:val="20"/>
                      <w:szCs w:val="20"/>
                    </w:rPr>
                    <w:t>ou</w:t>
                  </w:r>
                  <w:r w:rsidRPr="00150FC3">
                    <w:rPr>
                      <w:rFonts w:ascii="Times New Roman" w:hAnsi="Times New Roman" w:cs="Times New Roman"/>
                      <w:sz w:val="20"/>
                      <w:szCs w:val="20"/>
                    </w:rPr>
                    <w:t xml:space="preserve"> </w:t>
                  </w:r>
                  <w:r>
                    <w:rPr>
                      <w:rFonts w:ascii="Times New Roman" w:hAnsi="Times New Roman" w:cs="Times New Roman"/>
                      <w:sz w:val="20"/>
                      <w:szCs w:val="20"/>
                    </w:rPr>
                    <w:t xml:space="preserve">Lbp </w:t>
                  </w:r>
                  <w:r w:rsidRPr="00150FC3">
                    <w:rPr>
                      <w:rFonts w:ascii="Times New Roman" w:hAnsi="Times New Roman" w:cs="Times New Roman"/>
                      <w:sz w:val="20"/>
                      <w:szCs w:val="20"/>
                    </w:rPr>
                    <w:t xml:space="preserve">CECT748 </w:t>
                  </w:r>
                  <w:r w:rsidRPr="00150FC3">
                    <w:rPr>
                      <w:rFonts w:ascii="Times New Roman" w:hAnsi="Times New Roman" w:cs="Times New Roman"/>
                      <w:b/>
                      <w:bCs/>
                      <w:sz w:val="20"/>
                      <w:szCs w:val="20"/>
                    </w:rPr>
                    <w:t>(E)</w:t>
                  </w:r>
                  <w:r w:rsidRPr="00150FC3">
                    <w:rPr>
                      <w:rFonts w:ascii="Times New Roman" w:hAnsi="Times New Roman" w:cs="Times New Roman"/>
                      <w:sz w:val="20"/>
                      <w:szCs w:val="20"/>
                    </w:rPr>
                    <w:t xml:space="preserve">. </w:t>
                  </w:r>
                  <w:r w:rsidRPr="003468B2">
                    <w:rPr>
                      <w:rFonts w:ascii="Times New Roman" w:hAnsi="Times New Roman" w:cs="Times New Roman"/>
                      <w:sz w:val="20"/>
                      <w:szCs w:val="20"/>
                    </w:rPr>
                    <w:t>Cultures mixtes témoin (</w:t>
                  </w:r>
                  <w:r w:rsidRPr="00C44983">
                    <w:rPr>
                      <w:rFonts w:ascii="Times New Roman" w:hAnsi="Times New Roman" w:cs="Times New Roman"/>
                      <w:noProof/>
                      <w:color w:val="0070C0"/>
                      <w:sz w:val="20"/>
                      <w:szCs w:val="20"/>
                      <w:lang w:eastAsia="fr-FR"/>
                    </w:rPr>
                    <w:t>■</w:t>
                  </w:r>
                  <w:r w:rsidRPr="003468B2">
                    <w:rPr>
                      <w:rFonts w:ascii="Times New Roman" w:hAnsi="Times New Roman" w:cs="Times New Roman"/>
                      <w:sz w:val="20"/>
                      <w:szCs w:val="20"/>
                    </w:rPr>
                    <w:t xml:space="preserve">), cultures mixtes additionnées de 0,53% </w:t>
                  </w:r>
                  <w:r>
                    <w:rPr>
                      <w:rFonts w:ascii="Times New Roman" w:hAnsi="Times New Roman" w:cs="Times New Roman"/>
                      <w:sz w:val="20"/>
                      <w:szCs w:val="20"/>
                    </w:rPr>
                    <w:t xml:space="preserve">(P/V) : </w:t>
                  </w:r>
                  <w:r w:rsidRPr="003468B2">
                    <w:rPr>
                      <w:rFonts w:ascii="Times New Roman" w:hAnsi="Times New Roman" w:cs="Times New Roman"/>
                      <w:sz w:val="20"/>
                      <w:szCs w:val="20"/>
                    </w:rPr>
                    <w:t>de lactosérum doux (</w:t>
                  </w:r>
                  <w:r w:rsidRPr="007A6C8B">
                    <w:rPr>
                      <w:rFonts w:ascii="Times New Roman" w:hAnsi="Times New Roman" w:cs="Times New Roman"/>
                      <w:color w:val="FF9900"/>
                      <w:sz w:val="20"/>
                      <w:szCs w:val="20"/>
                    </w:rPr>
                    <w:t>■</w:t>
                  </w:r>
                  <w:r w:rsidRPr="003468B2">
                    <w:rPr>
                      <w:rFonts w:ascii="Times New Roman" w:hAnsi="Times New Roman" w:cs="Times New Roman"/>
                      <w:sz w:val="20"/>
                      <w:szCs w:val="20"/>
                    </w:rPr>
                    <w:t>), de Promilk 852A2 (</w:t>
                  </w:r>
                  <w:r w:rsidRPr="00C44983">
                    <w:rPr>
                      <w:rFonts w:ascii="Times New Roman" w:hAnsi="Times New Roman" w:cs="Times New Roman"/>
                      <w:color w:val="92D050"/>
                      <w:sz w:val="20"/>
                      <w:szCs w:val="20"/>
                    </w:rPr>
                    <w:t>■</w:t>
                  </w:r>
                  <w:r w:rsidRPr="003468B2">
                    <w:rPr>
                      <w:rFonts w:ascii="Times New Roman" w:hAnsi="Times New Roman" w:cs="Times New Roman"/>
                      <w:sz w:val="20"/>
                      <w:szCs w:val="20"/>
                    </w:rPr>
                    <w:t>),</w:t>
                  </w:r>
                  <w:r>
                    <w:rPr>
                      <w:rFonts w:ascii="Times New Roman" w:hAnsi="Times New Roman" w:cs="Times New Roman"/>
                      <w:sz w:val="20"/>
                      <w:szCs w:val="20"/>
                    </w:rPr>
                    <w:t xml:space="preserve"> </w:t>
                  </w:r>
                  <w:r w:rsidRPr="003468B2">
                    <w:rPr>
                      <w:rFonts w:ascii="Times New Roman" w:hAnsi="Times New Roman" w:cs="Times New Roman"/>
                      <w:sz w:val="20"/>
                      <w:szCs w:val="20"/>
                    </w:rPr>
                    <w:t>de Promilk C502 (</w:t>
                  </w:r>
                  <w:r w:rsidRPr="00C44983">
                    <w:rPr>
                      <w:rFonts w:ascii="Times New Roman" w:hAnsi="Times New Roman" w:cs="Times New Roman"/>
                      <w:color w:val="FF33CC"/>
                      <w:sz w:val="20"/>
                      <w:szCs w:val="20"/>
                    </w:rPr>
                    <w:t>■</w:t>
                  </w:r>
                  <w:r w:rsidRPr="003468B2">
                    <w:rPr>
                      <w:rFonts w:ascii="Times New Roman" w:hAnsi="Times New Roman" w:cs="Times New Roman"/>
                      <w:sz w:val="20"/>
                      <w:szCs w:val="20"/>
                    </w:rPr>
                    <w:t>)</w:t>
                  </w:r>
                  <w:r>
                    <w:rPr>
                      <w:rFonts w:ascii="Times New Roman" w:hAnsi="Times New Roman" w:cs="Times New Roman"/>
                      <w:sz w:val="20"/>
                      <w:szCs w:val="20"/>
                    </w:rPr>
                    <w:t xml:space="preserve"> ou </w:t>
                  </w:r>
                  <w:r w:rsidRPr="003468B2">
                    <w:rPr>
                      <w:rFonts w:ascii="Times New Roman" w:hAnsi="Times New Roman" w:cs="Times New Roman"/>
                      <w:sz w:val="20"/>
                      <w:szCs w:val="20"/>
                    </w:rPr>
                    <w:t>d’hydrolysat de caséine (</w:t>
                  </w:r>
                  <w:r w:rsidRPr="00C44983">
                    <w:rPr>
                      <w:rFonts w:ascii="Times New Roman" w:hAnsi="Times New Roman" w:cs="Times New Roman"/>
                      <w:color w:val="990099"/>
                      <w:sz w:val="20"/>
                      <w:szCs w:val="20"/>
                    </w:rPr>
                    <w:t>■</w:t>
                  </w:r>
                  <w:r>
                    <w:rPr>
                      <w:rFonts w:ascii="Times New Roman" w:hAnsi="Times New Roman" w:cs="Times New Roman"/>
                      <w:sz w:val="20"/>
                      <w:szCs w:val="20"/>
                    </w:rPr>
                    <w:t>)</w:t>
                  </w:r>
                  <w:r w:rsidRPr="00150FC3">
                    <w:rPr>
                      <w:rFonts w:ascii="Times New Roman" w:hAnsi="Times New Roman" w:cs="Times New Roman"/>
                      <w:sz w:val="20"/>
                      <w:szCs w:val="20"/>
                    </w:rPr>
                    <w:t>. Dans toutes les cultures mixtes, l’inoculum est à une concentration finale de 10</w:t>
                  </w:r>
                  <w:r w:rsidRPr="00150FC3">
                    <w:rPr>
                      <w:rFonts w:ascii="Times New Roman" w:hAnsi="Times New Roman" w:cs="Times New Roman"/>
                      <w:sz w:val="20"/>
                      <w:szCs w:val="20"/>
                      <w:vertAlign w:val="superscript"/>
                    </w:rPr>
                    <w:t>6</w:t>
                  </w:r>
                  <w:r w:rsidRPr="00150FC3">
                    <w:rPr>
                      <w:rFonts w:ascii="Times New Roman" w:hAnsi="Times New Roman" w:cs="Times New Roman"/>
                      <w:sz w:val="20"/>
                      <w:szCs w:val="20"/>
                    </w:rPr>
                    <w:t xml:space="preserve"> UFC/ml et utilisé à 1% (1 :1). Les valeurs représentent la moyenne (m) de 9 déterminations ±S</w:t>
                  </w:r>
                  <w:r>
                    <w:rPr>
                      <w:rFonts w:ascii="Times New Roman" w:hAnsi="Times New Roman" w:cs="Times New Roman"/>
                      <w:sz w:val="20"/>
                      <w:szCs w:val="20"/>
                    </w:rPr>
                    <w:t>EM</w:t>
                  </w:r>
                  <w:r w:rsidRPr="00150FC3">
                    <w:rPr>
                      <w:rFonts w:ascii="Times New Roman" w:hAnsi="Times New Roman" w:cs="Times New Roman"/>
                      <w:sz w:val="20"/>
                      <w:szCs w:val="20"/>
                    </w:rPr>
                    <w:t xml:space="preserve"> (n</w:t>
                  </w:r>
                  <w:r>
                    <w:rPr>
                      <w:rFonts w:ascii="Times New Roman" w:hAnsi="Times New Roman" w:cs="Times New Roman"/>
                      <w:sz w:val="20"/>
                      <w:szCs w:val="20"/>
                    </w:rPr>
                    <w:t xml:space="preserve"> </w:t>
                  </w:r>
                  <w:r w:rsidRPr="00150FC3">
                    <w:rPr>
                      <w:rFonts w:ascii="Times New Roman" w:hAnsi="Times New Roman" w:cs="Times New Roman"/>
                      <w:sz w:val="20"/>
                      <w:szCs w:val="20"/>
                    </w:rPr>
                    <w:t>=</w:t>
                  </w:r>
                  <w:r>
                    <w:rPr>
                      <w:rFonts w:ascii="Times New Roman" w:hAnsi="Times New Roman" w:cs="Times New Roman"/>
                      <w:sz w:val="20"/>
                      <w:szCs w:val="20"/>
                    </w:rPr>
                    <w:t xml:space="preserve"> </w:t>
                  </w:r>
                  <w:r w:rsidRPr="00150FC3">
                    <w:rPr>
                      <w:rFonts w:ascii="Times New Roman" w:hAnsi="Times New Roman" w:cs="Times New Roman"/>
                      <w:sz w:val="20"/>
                      <w:szCs w:val="20"/>
                    </w:rPr>
                    <w:t>9).</w:t>
                  </w:r>
                </w:p>
                <w:p w:rsidR="00310CA5" w:rsidRPr="009E0987" w:rsidRDefault="00310CA5" w:rsidP="006C66E7"/>
              </w:txbxContent>
            </v:textbox>
          </v:shape>
        </w:pict>
      </w:r>
      <w:r>
        <w:rPr>
          <w:rFonts w:asciiTheme="majorBidi" w:hAnsiTheme="majorBidi" w:cstheme="majorBidi"/>
          <w:noProof/>
          <w:lang w:eastAsia="fr-FR"/>
        </w:rPr>
        <w:pict>
          <v:shape id="_x0000_s2129" type="#_x0000_t202" style="position:absolute;margin-left:226.35pt;margin-top:347.65pt;width:204pt;height:182.25pt;z-index:251741184" strokecolor="white [3212]">
            <v:textbox>
              <w:txbxContent>
                <w:p w:rsidR="00310CA5" w:rsidRPr="009E0987" w:rsidRDefault="00310CA5" w:rsidP="006C66E7">
                  <w:pPr>
                    <w:ind w:firstLine="0"/>
                  </w:pPr>
                  <w:r w:rsidRPr="009E0987">
                    <w:rPr>
                      <w:noProof/>
                      <w:lang w:eastAsia="fr-FR"/>
                    </w:rPr>
                    <w:drawing>
                      <wp:inline distT="0" distB="0" distL="0" distR="0">
                        <wp:extent cx="2438400" cy="2095500"/>
                        <wp:effectExtent l="57150" t="19050" r="19050" b="0"/>
                        <wp:docPr id="898" name="Graphique 89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64"/>
                          </a:graphicData>
                        </a:graphic>
                      </wp:inline>
                    </w:drawing>
                  </w:r>
                </w:p>
              </w:txbxContent>
            </v:textbox>
          </v:shape>
        </w:pict>
      </w:r>
      <w:r>
        <w:rPr>
          <w:rFonts w:asciiTheme="majorBidi" w:hAnsiTheme="majorBidi" w:cstheme="majorBidi"/>
          <w:noProof/>
          <w:lang w:eastAsia="fr-FR"/>
        </w:rPr>
        <w:pict>
          <v:shape id="_x0000_s2128" type="#_x0000_t202" style="position:absolute;margin-left:5.1pt;margin-top:347.65pt;width:232.5pt;height:182.25pt;z-index:251740160" strokecolor="white [3212]">
            <v:textbox>
              <w:txbxContent>
                <w:p w:rsidR="00310CA5" w:rsidRDefault="00310CA5" w:rsidP="006C66E7">
                  <w:pPr>
                    <w:ind w:firstLine="0"/>
                  </w:pPr>
                  <w:r w:rsidRPr="009E0987">
                    <w:rPr>
                      <w:noProof/>
                      <w:lang w:eastAsia="fr-FR"/>
                    </w:rPr>
                    <w:drawing>
                      <wp:inline distT="0" distB="0" distL="0" distR="0">
                        <wp:extent cx="2562225" cy="2162175"/>
                        <wp:effectExtent l="57150" t="19050" r="9525" b="0"/>
                        <wp:docPr id="897" name="Graphique 89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65"/>
                          </a:graphicData>
                        </a:graphic>
                      </wp:inline>
                    </w:drawing>
                  </w:r>
                </w:p>
              </w:txbxContent>
            </v:textbox>
          </v:shape>
        </w:pict>
      </w:r>
      <w:r>
        <w:rPr>
          <w:rFonts w:asciiTheme="majorBidi" w:hAnsiTheme="majorBidi" w:cstheme="majorBidi"/>
          <w:noProof/>
          <w:lang w:eastAsia="fr-FR"/>
        </w:rPr>
        <w:pict>
          <v:shape id="_x0000_s2127" type="#_x0000_t202" style="position:absolute;margin-left:103.35pt;margin-top:162.4pt;width:223.5pt;height:185.25pt;z-index:251739136" strokecolor="white [3212]">
            <v:textbox>
              <w:txbxContent>
                <w:p w:rsidR="00310CA5" w:rsidRDefault="00310CA5" w:rsidP="006C66E7">
                  <w:pPr>
                    <w:ind w:firstLine="0"/>
                  </w:pPr>
                  <w:r w:rsidRPr="009E0987">
                    <w:rPr>
                      <w:noProof/>
                      <w:lang w:eastAsia="fr-FR"/>
                    </w:rPr>
                    <w:drawing>
                      <wp:inline distT="0" distB="0" distL="0" distR="0">
                        <wp:extent cx="2646045" cy="2124075"/>
                        <wp:effectExtent l="38100" t="19050" r="20955" b="0"/>
                        <wp:docPr id="896" name="Graphique 89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66"/>
                          </a:graphicData>
                        </a:graphic>
                      </wp:inline>
                    </w:drawing>
                  </w:r>
                </w:p>
              </w:txbxContent>
            </v:textbox>
          </v:shape>
        </w:pict>
      </w:r>
      <w:r w:rsidR="006C66E7">
        <w:rPr>
          <w:rFonts w:asciiTheme="majorBidi" w:hAnsiTheme="majorBidi" w:cstheme="majorBidi"/>
        </w:rPr>
        <w:br w:type="page"/>
      </w:r>
    </w:p>
    <w:p w:rsidR="006C66E7" w:rsidRDefault="006F133D" w:rsidP="006C66E7">
      <w:pPr>
        <w:spacing w:before="0" w:after="0" w:line="276" w:lineRule="auto"/>
        <w:ind w:firstLine="0"/>
        <w:rPr>
          <w:rFonts w:asciiTheme="majorBidi" w:hAnsiTheme="majorBidi" w:cstheme="majorBidi"/>
        </w:rPr>
      </w:pPr>
      <w:r>
        <w:rPr>
          <w:rFonts w:asciiTheme="majorBidi" w:hAnsiTheme="majorBidi" w:cstheme="majorBidi"/>
          <w:noProof/>
          <w:lang w:eastAsia="fr-FR"/>
        </w:rPr>
        <w:lastRenderedPageBreak/>
        <w:pict>
          <v:shape id="_x0000_s2137" type="#_x0000_t202" style="position:absolute;margin-left:14.1pt;margin-top:557.35pt;width:404.25pt;height:116.25pt;z-index:251749376" strokecolor="white [3212]">
            <v:textbox style="mso-next-textbox:#_x0000_s2137">
              <w:txbxContent>
                <w:p w:rsidR="00310CA5" w:rsidRPr="00DB2968" w:rsidRDefault="00310CA5" w:rsidP="006C66E7">
                  <w:pPr>
                    <w:ind w:left="1134" w:hanging="1134"/>
                    <w:jc w:val="both"/>
                    <w:rPr>
                      <w:rFonts w:ascii="Times New Roman" w:hAnsi="Times New Roman" w:cs="Times New Roman"/>
                      <w:sz w:val="20"/>
                      <w:szCs w:val="20"/>
                    </w:rPr>
                  </w:pPr>
                  <w:r w:rsidRPr="001F04E7">
                    <w:rPr>
                      <w:rFonts w:ascii="Times New Roman" w:hAnsi="Times New Roman" w:cs="Times New Roman"/>
                      <w:b/>
                      <w:bCs/>
                      <w:sz w:val="20"/>
                      <w:szCs w:val="20"/>
                      <w:u w:val="single"/>
                    </w:rPr>
                    <w:t>Figure 14</w:t>
                  </w:r>
                  <w:r w:rsidRPr="00DB2968">
                    <w:rPr>
                      <w:rFonts w:ascii="Times New Roman" w:hAnsi="Times New Roman" w:cs="Times New Roman"/>
                      <w:sz w:val="20"/>
                      <w:szCs w:val="20"/>
                    </w:rPr>
                    <w:t xml:space="preserve"> : Cinétique </w:t>
                  </w:r>
                  <w:r w:rsidRPr="001F04E7">
                    <w:rPr>
                      <w:rFonts w:ascii="Times New Roman" w:hAnsi="Times New Roman" w:cs="Times New Roman"/>
                      <w:b/>
                      <w:bCs/>
                      <w:sz w:val="20"/>
                      <w:szCs w:val="20"/>
                    </w:rPr>
                    <w:t>de viabilité au cours de l’entreposage à +4°C</w:t>
                  </w:r>
                  <w:r>
                    <w:rPr>
                      <w:rFonts w:ascii="Times New Roman" w:hAnsi="Times New Roman" w:cs="Times New Roman"/>
                      <w:sz w:val="20"/>
                      <w:szCs w:val="20"/>
                    </w:rPr>
                    <w:t xml:space="preserve"> </w:t>
                  </w:r>
                  <w:r w:rsidRPr="00DB2968">
                    <w:rPr>
                      <w:rFonts w:ascii="Times New Roman" w:hAnsi="Times New Roman" w:cs="Times New Roman"/>
                      <w:sz w:val="20"/>
                      <w:szCs w:val="20"/>
                    </w:rPr>
                    <w:t xml:space="preserve">de la souche lactique </w:t>
                  </w:r>
                  <w:r w:rsidRPr="001F04E7">
                    <w:rPr>
                      <w:rFonts w:ascii="Times New Roman" w:hAnsi="Times New Roman" w:cs="Times New Roman"/>
                      <w:b/>
                      <w:bCs/>
                      <w:i/>
                      <w:iCs/>
                      <w:sz w:val="20"/>
                      <w:szCs w:val="20"/>
                    </w:rPr>
                    <w:t>Lactobacillus bulgaricus</w:t>
                  </w:r>
                  <w:r w:rsidRPr="00DB2968">
                    <w:rPr>
                      <w:rFonts w:ascii="Times New Roman" w:hAnsi="Times New Roman" w:cs="Times New Roman"/>
                      <w:i/>
                      <w:iCs/>
                      <w:sz w:val="20"/>
                      <w:szCs w:val="20"/>
                    </w:rPr>
                    <w:t xml:space="preserve"> </w:t>
                  </w:r>
                  <w:r w:rsidRPr="00DB2968">
                    <w:rPr>
                      <w:rFonts w:ascii="Times New Roman" w:hAnsi="Times New Roman" w:cs="Times New Roman"/>
                      <w:sz w:val="20"/>
                      <w:szCs w:val="20"/>
                    </w:rPr>
                    <w:t xml:space="preserve">dans </w:t>
                  </w:r>
                  <w:r>
                    <w:rPr>
                      <w:rFonts w:ascii="Times New Roman" w:hAnsi="Times New Roman" w:cs="Times New Roman"/>
                      <w:sz w:val="20"/>
                      <w:szCs w:val="20"/>
                    </w:rPr>
                    <w:t xml:space="preserve">le </w:t>
                  </w:r>
                  <w:r w:rsidRPr="00DB2968">
                    <w:rPr>
                      <w:rFonts w:ascii="Times New Roman" w:hAnsi="Times New Roman" w:cs="Times New Roman"/>
                      <w:sz w:val="20"/>
                      <w:szCs w:val="20"/>
                    </w:rPr>
                    <w:t xml:space="preserve">lait fermenté à 37°C en culture mixte avec </w:t>
                  </w:r>
                  <w:r w:rsidRPr="00DB2968">
                    <w:rPr>
                      <w:rFonts w:ascii="Times New Roman" w:hAnsi="Times New Roman" w:cs="Times New Roman"/>
                      <w:i/>
                      <w:iCs/>
                      <w:sz w:val="20"/>
                      <w:szCs w:val="20"/>
                    </w:rPr>
                    <w:t>Streptococcus thermophilus</w:t>
                  </w:r>
                  <w:r w:rsidRPr="00DB2968">
                    <w:rPr>
                      <w:rFonts w:ascii="Times New Roman" w:hAnsi="Times New Roman" w:cs="Times New Roman"/>
                      <w:sz w:val="20"/>
                      <w:szCs w:val="20"/>
                    </w:rPr>
                    <w:t xml:space="preserve"> et une souche </w:t>
                  </w:r>
                  <w:r>
                    <w:rPr>
                      <w:rFonts w:ascii="Times New Roman" w:hAnsi="Times New Roman" w:cs="Times New Roman"/>
                      <w:sz w:val="20"/>
                      <w:szCs w:val="20"/>
                    </w:rPr>
                    <w:t>bénéf</w:t>
                  </w:r>
                  <w:r w:rsidRPr="00DB2968">
                    <w:rPr>
                      <w:rFonts w:ascii="Times New Roman" w:hAnsi="Times New Roman" w:cs="Times New Roman"/>
                      <w:sz w:val="20"/>
                      <w:szCs w:val="20"/>
                    </w:rPr>
                    <w:t>ique BLR </w:t>
                  </w:r>
                  <w:r w:rsidRPr="00DB2968">
                    <w:rPr>
                      <w:rFonts w:ascii="Times New Roman" w:hAnsi="Times New Roman" w:cs="Times New Roman"/>
                      <w:b/>
                      <w:bCs/>
                      <w:sz w:val="20"/>
                      <w:szCs w:val="20"/>
                    </w:rPr>
                    <w:t>(A)</w:t>
                  </w:r>
                  <w:r w:rsidRPr="00DB2968">
                    <w:rPr>
                      <w:rFonts w:ascii="Times New Roman" w:hAnsi="Times New Roman" w:cs="Times New Roman"/>
                      <w:sz w:val="20"/>
                      <w:szCs w:val="20"/>
                    </w:rPr>
                    <w:t>; LbRE</w:t>
                  </w:r>
                  <w:r>
                    <w:rPr>
                      <w:rFonts w:ascii="Times New Roman" w:hAnsi="Times New Roman" w:cs="Times New Roman"/>
                      <w:sz w:val="20"/>
                      <w:szCs w:val="20"/>
                    </w:rPr>
                    <w:t>-</w:t>
                  </w:r>
                  <w:r w:rsidRPr="00DB2968">
                    <w:rPr>
                      <w:rFonts w:ascii="Times New Roman" w:hAnsi="Times New Roman" w:cs="Times New Roman"/>
                      <w:sz w:val="20"/>
                      <w:szCs w:val="20"/>
                    </w:rPr>
                    <w:t>LSAS </w:t>
                  </w:r>
                  <w:r w:rsidRPr="00DB2968">
                    <w:rPr>
                      <w:rFonts w:ascii="Times New Roman" w:hAnsi="Times New Roman" w:cs="Times New Roman"/>
                      <w:b/>
                      <w:bCs/>
                      <w:sz w:val="20"/>
                      <w:szCs w:val="20"/>
                    </w:rPr>
                    <w:t>(B)</w:t>
                  </w:r>
                  <w:r w:rsidRPr="00DB2968">
                    <w:rPr>
                      <w:rFonts w:ascii="Times New Roman" w:hAnsi="Times New Roman" w:cs="Times New Roman"/>
                      <w:sz w:val="20"/>
                      <w:szCs w:val="20"/>
                    </w:rPr>
                    <w:t>; Bb12 </w:t>
                  </w:r>
                  <w:r w:rsidRPr="00DB2968">
                    <w:rPr>
                      <w:rFonts w:ascii="Times New Roman" w:hAnsi="Times New Roman" w:cs="Times New Roman"/>
                      <w:b/>
                      <w:bCs/>
                      <w:sz w:val="20"/>
                      <w:szCs w:val="20"/>
                    </w:rPr>
                    <w:t>(C)</w:t>
                  </w:r>
                  <w:r w:rsidRPr="00DB2968">
                    <w:rPr>
                      <w:rFonts w:ascii="Times New Roman" w:hAnsi="Times New Roman" w:cs="Times New Roman"/>
                      <w:sz w:val="20"/>
                      <w:szCs w:val="20"/>
                    </w:rPr>
                    <w:t>;</w:t>
                  </w:r>
                  <w:r>
                    <w:rPr>
                      <w:rFonts w:ascii="Times New Roman" w:hAnsi="Times New Roman" w:cs="Times New Roman"/>
                      <w:sz w:val="20"/>
                      <w:szCs w:val="20"/>
                    </w:rPr>
                    <w:t xml:space="preserve"> Lba </w:t>
                  </w:r>
                  <w:r w:rsidRPr="00DB2968">
                    <w:rPr>
                      <w:rFonts w:ascii="Times New Roman" w:hAnsi="Times New Roman" w:cs="Times New Roman"/>
                      <w:sz w:val="20"/>
                      <w:szCs w:val="20"/>
                    </w:rPr>
                    <w:t xml:space="preserve">CECT4529 </w:t>
                  </w:r>
                  <w:r w:rsidRPr="00DB2968">
                    <w:rPr>
                      <w:rFonts w:ascii="Times New Roman" w:hAnsi="Times New Roman" w:cs="Times New Roman"/>
                      <w:b/>
                      <w:bCs/>
                      <w:sz w:val="20"/>
                      <w:szCs w:val="20"/>
                    </w:rPr>
                    <w:t>(D)</w:t>
                  </w:r>
                  <w:r w:rsidRPr="00DB2968">
                    <w:rPr>
                      <w:rFonts w:ascii="Times New Roman" w:hAnsi="Times New Roman" w:cs="Times New Roman"/>
                      <w:sz w:val="20"/>
                      <w:szCs w:val="20"/>
                    </w:rPr>
                    <w:t xml:space="preserve"> </w:t>
                  </w:r>
                  <w:r>
                    <w:rPr>
                      <w:rFonts w:ascii="Times New Roman" w:hAnsi="Times New Roman" w:cs="Times New Roman"/>
                      <w:sz w:val="20"/>
                      <w:szCs w:val="20"/>
                    </w:rPr>
                    <w:t>ou</w:t>
                  </w:r>
                  <w:r w:rsidRPr="00DB2968">
                    <w:rPr>
                      <w:rFonts w:ascii="Times New Roman" w:hAnsi="Times New Roman" w:cs="Times New Roman"/>
                      <w:sz w:val="20"/>
                      <w:szCs w:val="20"/>
                    </w:rPr>
                    <w:t xml:space="preserve"> </w:t>
                  </w:r>
                  <w:r>
                    <w:rPr>
                      <w:rFonts w:ascii="Times New Roman" w:hAnsi="Times New Roman" w:cs="Times New Roman"/>
                      <w:sz w:val="20"/>
                      <w:szCs w:val="20"/>
                    </w:rPr>
                    <w:t xml:space="preserve">Lbp </w:t>
                  </w:r>
                  <w:r w:rsidRPr="00DB2968">
                    <w:rPr>
                      <w:rFonts w:ascii="Times New Roman" w:hAnsi="Times New Roman" w:cs="Times New Roman"/>
                      <w:sz w:val="20"/>
                      <w:szCs w:val="20"/>
                    </w:rPr>
                    <w:t xml:space="preserve">CECT748 </w:t>
                  </w:r>
                  <w:r w:rsidRPr="00DB2968">
                    <w:rPr>
                      <w:rFonts w:ascii="Times New Roman" w:hAnsi="Times New Roman" w:cs="Times New Roman"/>
                      <w:b/>
                      <w:bCs/>
                      <w:sz w:val="20"/>
                      <w:szCs w:val="20"/>
                    </w:rPr>
                    <w:t>(E)</w:t>
                  </w:r>
                  <w:r w:rsidRPr="00DB2968">
                    <w:rPr>
                      <w:rFonts w:ascii="Times New Roman" w:hAnsi="Times New Roman" w:cs="Times New Roman"/>
                      <w:sz w:val="20"/>
                      <w:szCs w:val="20"/>
                    </w:rPr>
                    <w:t xml:space="preserve">. </w:t>
                  </w:r>
                  <w:r w:rsidRPr="003468B2">
                    <w:rPr>
                      <w:rFonts w:ascii="Times New Roman" w:hAnsi="Times New Roman" w:cs="Times New Roman"/>
                      <w:sz w:val="20"/>
                      <w:szCs w:val="20"/>
                    </w:rPr>
                    <w:t>Cultures mixtes témoin (</w:t>
                  </w:r>
                  <w:r w:rsidRPr="00C44983">
                    <w:rPr>
                      <w:rFonts w:ascii="Times New Roman" w:hAnsi="Times New Roman" w:cs="Times New Roman"/>
                      <w:noProof/>
                      <w:color w:val="0070C0"/>
                      <w:sz w:val="20"/>
                      <w:szCs w:val="20"/>
                      <w:lang w:eastAsia="fr-FR"/>
                    </w:rPr>
                    <w:t>■</w:t>
                  </w:r>
                  <w:r w:rsidRPr="003468B2">
                    <w:rPr>
                      <w:rFonts w:ascii="Times New Roman" w:hAnsi="Times New Roman" w:cs="Times New Roman"/>
                      <w:sz w:val="20"/>
                      <w:szCs w:val="20"/>
                    </w:rPr>
                    <w:t xml:space="preserve">), cultures mixtes additionnées de 0,53% </w:t>
                  </w:r>
                  <w:r>
                    <w:rPr>
                      <w:rFonts w:ascii="Times New Roman" w:hAnsi="Times New Roman" w:cs="Times New Roman"/>
                      <w:sz w:val="20"/>
                      <w:szCs w:val="20"/>
                    </w:rPr>
                    <w:t xml:space="preserve">(P/V) : </w:t>
                  </w:r>
                  <w:r w:rsidRPr="003468B2">
                    <w:rPr>
                      <w:rFonts w:ascii="Times New Roman" w:hAnsi="Times New Roman" w:cs="Times New Roman"/>
                      <w:sz w:val="20"/>
                      <w:szCs w:val="20"/>
                    </w:rPr>
                    <w:t>de lactosérum doux (</w:t>
                  </w:r>
                  <w:r w:rsidRPr="007A6C8B">
                    <w:rPr>
                      <w:rFonts w:ascii="Times New Roman" w:hAnsi="Times New Roman" w:cs="Times New Roman"/>
                      <w:color w:val="FF9900"/>
                      <w:sz w:val="20"/>
                      <w:szCs w:val="20"/>
                    </w:rPr>
                    <w:t>■</w:t>
                  </w:r>
                  <w:r w:rsidRPr="003468B2">
                    <w:rPr>
                      <w:rFonts w:ascii="Times New Roman" w:hAnsi="Times New Roman" w:cs="Times New Roman"/>
                      <w:sz w:val="20"/>
                      <w:szCs w:val="20"/>
                    </w:rPr>
                    <w:t>), de Promilk 852A2 (</w:t>
                  </w:r>
                  <w:r w:rsidRPr="00C44983">
                    <w:rPr>
                      <w:rFonts w:ascii="Times New Roman" w:hAnsi="Times New Roman" w:cs="Times New Roman"/>
                      <w:color w:val="92D050"/>
                      <w:sz w:val="20"/>
                      <w:szCs w:val="20"/>
                    </w:rPr>
                    <w:t>■</w:t>
                  </w:r>
                  <w:r w:rsidRPr="003468B2">
                    <w:rPr>
                      <w:rFonts w:ascii="Times New Roman" w:hAnsi="Times New Roman" w:cs="Times New Roman"/>
                      <w:sz w:val="20"/>
                      <w:szCs w:val="20"/>
                    </w:rPr>
                    <w:t>),</w:t>
                  </w:r>
                  <w:r>
                    <w:rPr>
                      <w:rFonts w:ascii="Times New Roman" w:hAnsi="Times New Roman" w:cs="Times New Roman"/>
                      <w:sz w:val="20"/>
                      <w:szCs w:val="20"/>
                    </w:rPr>
                    <w:t xml:space="preserve"> </w:t>
                  </w:r>
                  <w:r w:rsidRPr="003468B2">
                    <w:rPr>
                      <w:rFonts w:ascii="Times New Roman" w:hAnsi="Times New Roman" w:cs="Times New Roman"/>
                      <w:sz w:val="20"/>
                      <w:szCs w:val="20"/>
                    </w:rPr>
                    <w:t>de Promilk C502 (</w:t>
                  </w:r>
                  <w:r w:rsidRPr="00C44983">
                    <w:rPr>
                      <w:rFonts w:ascii="Times New Roman" w:hAnsi="Times New Roman" w:cs="Times New Roman"/>
                      <w:color w:val="FF33CC"/>
                      <w:sz w:val="20"/>
                      <w:szCs w:val="20"/>
                    </w:rPr>
                    <w:t>■</w:t>
                  </w:r>
                  <w:r w:rsidRPr="003468B2">
                    <w:rPr>
                      <w:rFonts w:ascii="Times New Roman" w:hAnsi="Times New Roman" w:cs="Times New Roman"/>
                      <w:sz w:val="20"/>
                      <w:szCs w:val="20"/>
                    </w:rPr>
                    <w:t>)</w:t>
                  </w:r>
                  <w:r>
                    <w:rPr>
                      <w:rFonts w:ascii="Times New Roman" w:hAnsi="Times New Roman" w:cs="Times New Roman"/>
                      <w:sz w:val="20"/>
                      <w:szCs w:val="20"/>
                    </w:rPr>
                    <w:t xml:space="preserve"> ou </w:t>
                  </w:r>
                  <w:r w:rsidRPr="003468B2">
                    <w:rPr>
                      <w:rFonts w:ascii="Times New Roman" w:hAnsi="Times New Roman" w:cs="Times New Roman"/>
                      <w:sz w:val="20"/>
                      <w:szCs w:val="20"/>
                    </w:rPr>
                    <w:t>d’hydrolysat de caséine (</w:t>
                  </w:r>
                  <w:r w:rsidRPr="00C44983">
                    <w:rPr>
                      <w:rFonts w:ascii="Times New Roman" w:hAnsi="Times New Roman" w:cs="Times New Roman"/>
                      <w:color w:val="990099"/>
                      <w:sz w:val="20"/>
                      <w:szCs w:val="20"/>
                    </w:rPr>
                    <w:t>■</w:t>
                  </w:r>
                  <w:r>
                    <w:rPr>
                      <w:rFonts w:ascii="Times New Roman" w:hAnsi="Times New Roman" w:cs="Times New Roman"/>
                      <w:sz w:val="20"/>
                      <w:szCs w:val="20"/>
                    </w:rPr>
                    <w:t>)</w:t>
                  </w:r>
                  <w:r w:rsidRPr="00DB2968">
                    <w:rPr>
                      <w:rFonts w:ascii="Times New Roman" w:hAnsi="Times New Roman" w:cs="Times New Roman"/>
                      <w:sz w:val="20"/>
                      <w:szCs w:val="20"/>
                    </w:rPr>
                    <w:t>. Dans toutes les cultures mixtes, l’inoculum est à une concentration finale de 10</w:t>
                  </w:r>
                  <w:r w:rsidRPr="00DB2968">
                    <w:rPr>
                      <w:rFonts w:ascii="Times New Roman" w:hAnsi="Times New Roman" w:cs="Times New Roman"/>
                      <w:sz w:val="20"/>
                      <w:szCs w:val="20"/>
                      <w:vertAlign w:val="superscript"/>
                    </w:rPr>
                    <w:t>6</w:t>
                  </w:r>
                  <w:r w:rsidRPr="00DB2968">
                    <w:rPr>
                      <w:rFonts w:ascii="Times New Roman" w:hAnsi="Times New Roman" w:cs="Times New Roman"/>
                      <w:sz w:val="20"/>
                      <w:szCs w:val="20"/>
                    </w:rPr>
                    <w:t xml:space="preserve"> UFC/ml et utilisé à 1% (1 :1). Les valeurs représentent la moyenne (m) de 9 déterminations ±S</w:t>
                  </w:r>
                  <w:r>
                    <w:rPr>
                      <w:rFonts w:ascii="Times New Roman" w:hAnsi="Times New Roman" w:cs="Times New Roman"/>
                      <w:sz w:val="20"/>
                      <w:szCs w:val="20"/>
                    </w:rPr>
                    <w:t>EM</w:t>
                  </w:r>
                  <w:r w:rsidRPr="00DB2968">
                    <w:rPr>
                      <w:rFonts w:ascii="Times New Roman" w:hAnsi="Times New Roman" w:cs="Times New Roman"/>
                      <w:sz w:val="20"/>
                      <w:szCs w:val="20"/>
                    </w:rPr>
                    <w:t xml:space="preserve"> (n</w:t>
                  </w:r>
                  <w:r>
                    <w:rPr>
                      <w:rFonts w:ascii="Times New Roman" w:hAnsi="Times New Roman" w:cs="Times New Roman"/>
                      <w:sz w:val="20"/>
                      <w:szCs w:val="20"/>
                    </w:rPr>
                    <w:t xml:space="preserve"> </w:t>
                  </w:r>
                  <w:r w:rsidRPr="00DB2968">
                    <w:rPr>
                      <w:rFonts w:ascii="Times New Roman" w:hAnsi="Times New Roman" w:cs="Times New Roman"/>
                      <w:sz w:val="20"/>
                      <w:szCs w:val="20"/>
                    </w:rPr>
                    <w:t>=</w:t>
                  </w:r>
                  <w:r>
                    <w:rPr>
                      <w:rFonts w:ascii="Times New Roman" w:hAnsi="Times New Roman" w:cs="Times New Roman"/>
                      <w:sz w:val="20"/>
                      <w:szCs w:val="20"/>
                    </w:rPr>
                    <w:t xml:space="preserve"> </w:t>
                  </w:r>
                  <w:r w:rsidRPr="00DB2968">
                    <w:rPr>
                      <w:rFonts w:ascii="Times New Roman" w:hAnsi="Times New Roman" w:cs="Times New Roman"/>
                      <w:sz w:val="20"/>
                      <w:szCs w:val="20"/>
                    </w:rPr>
                    <w:t>9).</w:t>
                  </w:r>
                </w:p>
                <w:p w:rsidR="00310CA5" w:rsidRDefault="00310CA5" w:rsidP="006C66E7"/>
              </w:txbxContent>
            </v:textbox>
          </v:shape>
        </w:pict>
      </w:r>
      <w:r>
        <w:rPr>
          <w:rFonts w:asciiTheme="majorBidi" w:hAnsiTheme="majorBidi" w:cstheme="majorBidi"/>
          <w:noProof/>
          <w:lang w:eastAsia="fr-FR"/>
        </w:rPr>
        <w:pict>
          <v:shape id="_x0000_s2131" type="#_x0000_t202" style="position:absolute;margin-left:4.35pt;margin-top:-3.65pt;width:434.25pt;height:684pt;z-index:251743232">
            <v:textbox>
              <w:txbxContent>
                <w:p w:rsidR="00310CA5" w:rsidRDefault="00310CA5" w:rsidP="006C66E7"/>
              </w:txbxContent>
            </v:textbox>
          </v:shape>
        </w:pict>
      </w:r>
      <w:r>
        <w:rPr>
          <w:rFonts w:asciiTheme="majorBidi" w:hAnsiTheme="majorBidi" w:cstheme="majorBidi"/>
          <w:noProof/>
          <w:lang w:eastAsia="fr-FR"/>
        </w:rPr>
        <w:pict>
          <v:shape id="_x0000_s2136" type="#_x0000_t202" style="position:absolute;margin-left:225.6pt;margin-top:370.6pt;width:204pt;height:197.25pt;z-index:251748352" strokecolor="white [3212]">
            <v:textbox>
              <w:txbxContent>
                <w:p w:rsidR="00310CA5" w:rsidRDefault="00310CA5" w:rsidP="006C66E7">
                  <w:pPr>
                    <w:ind w:firstLine="0"/>
                  </w:pPr>
                  <w:r w:rsidRPr="009E0987">
                    <w:rPr>
                      <w:noProof/>
                      <w:lang w:eastAsia="fr-FR"/>
                    </w:rPr>
                    <w:drawing>
                      <wp:inline distT="0" distB="0" distL="0" distR="0">
                        <wp:extent cx="2331720" cy="2266950"/>
                        <wp:effectExtent l="57150" t="0" r="11430" b="0"/>
                        <wp:docPr id="903" name="Graphique 90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67"/>
                          </a:graphicData>
                        </a:graphic>
                      </wp:inline>
                    </w:drawing>
                  </w:r>
                </w:p>
              </w:txbxContent>
            </v:textbox>
          </v:shape>
        </w:pict>
      </w:r>
      <w:r>
        <w:rPr>
          <w:rFonts w:asciiTheme="majorBidi" w:hAnsiTheme="majorBidi" w:cstheme="majorBidi"/>
          <w:noProof/>
          <w:lang w:eastAsia="fr-FR"/>
        </w:rPr>
        <w:pict>
          <v:shape id="_x0000_s2135" type="#_x0000_t202" style="position:absolute;margin-left:10.35pt;margin-top:370.6pt;width:220.5pt;height:197.25pt;z-index:251747328" strokecolor="white [3212]">
            <v:textbox>
              <w:txbxContent>
                <w:p w:rsidR="00310CA5" w:rsidRDefault="00310CA5" w:rsidP="006C66E7">
                  <w:pPr>
                    <w:ind w:firstLine="0"/>
                  </w:pPr>
                  <w:r w:rsidRPr="009E0987">
                    <w:rPr>
                      <w:noProof/>
                      <w:lang w:eastAsia="fr-FR"/>
                    </w:rPr>
                    <w:drawing>
                      <wp:inline distT="0" distB="0" distL="0" distR="0">
                        <wp:extent cx="2600325" cy="2247900"/>
                        <wp:effectExtent l="57150" t="19050" r="9525" b="0"/>
                        <wp:docPr id="902" name="Graphique 90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68"/>
                          </a:graphicData>
                        </a:graphic>
                      </wp:inline>
                    </w:drawing>
                  </w:r>
                </w:p>
              </w:txbxContent>
            </v:textbox>
          </v:shape>
        </w:pict>
      </w:r>
      <w:r>
        <w:rPr>
          <w:rFonts w:asciiTheme="majorBidi" w:hAnsiTheme="majorBidi" w:cstheme="majorBidi"/>
          <w:noProof/>
          <w:lang w:eastAsia="fr-FR"/>
        </w:rPr>
        <w:pict>
          <v:shape id="_x0000_s2134" type="#_x0000_t202" style="position:absolute;margin-left:125.85pt;margin-top:187.6pt;width:222pt;height:187.5pt;z-index:251746304" strokecolor="white [3212]">
            <v:textbox>
              <w:txbxContent>
                <w:p w:rsidR="00310CA5" w:rsidRPr="009E0987" w:rsidRDefault="00310CA5" w:rsidP="006C66E7">
                  <w:pPr>
                    <w:ind w:firstLine="0"/>
                  </w:pPr>
                  <w:r w:rsidRPr="009E0987">
                    <w:rPr>
                      <w:noProof/>
                      <w:lang w:eastAsia="fr-FR"/>
                    </w:rPr>
                    <w:drawing>
                      <wp:inline distT="0" distB="0" distL="0" distR="0">
                        <wp:extent cx="2522220" cy="2143125"/>
                        <wp:effectExtent l="38100" t="19050" r="11430" b="0"/>
                        <wp:docPr id="901" name="Graphique 90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69"/>
                          </a:graphicData>
                        </a:graphic>
                      </wp:inline>
                    </w:drawing>
                  </w:r>
                </w:p>
              </w:txbxContent>
            </v:textbox>
          </v:shape>
        </w:pict>
      </w:r>
      <w:r>
        <w:rPr>
          <w:rFonts w:asciiTheme="majorBidi" w:hAnsiTheme="majorBidi" w:cstheme="majorBidi"/>
          <w:noProof/>
          <w:lang w:eastAsia="fr-FR"/>
        </w:rPr>
        <w:pict>
          <v:shape id="_x0000_s2133" type="#_x0000_t202" style="position:absolute;margin-left:216.6pt;margin-top:2.35pt;width:213pt;height:193.5pt;z-index:251745280" strokecolor="white [3212]">
            <v:textbox>
              <w:txbxContent>
                <w:p w:rsidR="00310CA5" w:rsidRPr="009E0987" w:rsidRDefault="00310CA5" w:rsidP="006C66E7">
                  <w:pPr>
                    <w:ind w:firstLine="0"/>
                  </w:pPr>
                  <w:r w:rsidRPr="009E0987">
                    <w:rPr>
                      <w:noProof/>
                      <w:lang w:eastAsia="fr-FR"/>
                    </w:rPr>
                    <w:drawing>
                      <wp:inline distT="0" distB="0" distL="0" distR="0">
                        <wp:extent cx="2531745" cy="2219325"/>
                        <wp:effectExtent l="38100" t="0" r="20955" b="0"/>
                        <wp:docPr id="900" name="Graphique 90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0"/>
                          </a:graphicData>
                        </a:graphic>
                      </wp:inline>
                    </w:drawing>
                  </w:r>
                </w:p>
              </w:txbxContent>
            </v:textbox>
          </v:shape>
        </w:pict>
      </w:r>
      <w:r>
        <w:rPr>
          <w:rFonts w:asciiTheme="majorBidi" w:hAnsiTheme="majorBidi" w:cstheme="majorBidi"/>
          <w:noProof/>
          <w:lang w:eastAsia="fr-FR"/>
        </w:rPr>
        <w:pict>
          <v:shape id="_x0000_s2132" type="#_x0000_t202" style="position:absolute;margin-left:10.35pt;margin-top:2.35pt;width:206.25pt;height:193.5pt;z-index:251744256" strokecolor="white [3212]">
            <v:textbox>
              <w:txbxContent>
                <w:p w:rsidR="00310CA5" w:rsidRDefault="00310CA5" w:rsidP="006C66E7">
                  <w:pPr>
                    <w:ind w:firstLine="0"/>
                  </w:pPr>
                  <w:r w:rsidRPr="009E0987">
                    <w:rPr>
                      <w:noProof/>
                      <w:lang w:eastAsia="fr-FR"/>
                    </w:rPr>
                    <w:drawing>
                      <wp:inline distT="0" distB="0" distL="0" distR="0">
                        <wp:extent cx="2466975" cy="2200275"/>
                        <wp:effectExtent l="57150" t="19050" r="9525" b="0"/>
                        <wp:docPr id="899" name="Graphique 89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1"/>
                          </a:graphicData>
                        </a:graphic>
                      </wp:inline>
                    </w:drawing>
                  </w:r>
                </w:p>
              </w:txbxContent>
            </v:textbox>
          </v:shape>
        </w:pict>
      </w:r>
      <w:r w:rsidR="006C66E7">
        <w:rPr>
          <w:rFonts w:asciiTheme="majorBidi" w:hAnsiTheme="majorBidi" w:cstheme="majorBidi"/>
        </w:rPr>
        <w:br w:type="page"/>
      </w:r>
    </w:p>
    <w:p w:rsidR="00F13BB2" w:rsidRPr="0067253E" w:rsidRDefault="00F13BB2" w:rsidP="00F13BB2">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lastRenderedPageBreak/>
        <w:t>Les pertes en quantités de biomasse des souches bénéfiques étaient plus élevées en fin d’entreposage réfrigéré dans les laits fermentés en présence Promilk 852A2 comparativement à ceux contenant les autres ingrédients protéiques. Ces pertes sont respectivement de l’ordre de 25.11, 27.16, 26.71, 26.16 et 28.28% pour BLR, LbRE-LSAS, Bb12, Lba CECT4529 et Lbp CECT748 ; ce qui représente une diminution de 2.33 à 2.66 unités logarithmiques.</w:t>
      </w:r>
    </w:p>
    <w:p w:rsidR="00F13BB2" w:rsidRDefault="00F13BB2" w:rsidP="006C66E7">
      <w:pPr>
        <w:spacing w:before="0" w:after="0" w:line="360" w:lineRule="auto"/>
        <w:ind w:firstLine="360"/>
        <w:contextualSpacing/>
        <w:jc w:val="both"/>
        <w:rPr>
          <w:rFonts w:asciiTheme="majorBidi" w:hAnsiTheme="majorBidi" w:cstheme="majorBidi"/>
        </w:rPr>
      </w:pPr>
    </w:p>
    <w:p w:rsidR="006C66E7" w:rsidRPr="0067253E"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En présence de Promilk C502, les pertes des quantités de biomasse des cinq souches bénéfiques au 7</w:t>
      </w:r>
      <w:r w:rsidRPr="0067253E">
        <w:rPr>
          <w:rFonts w:asciiTheme="majorBidi" w:hAnsiTheme="majorBidi" w:cstheme="majorBidi"/>
          <w:vertAlign w:val="superscript"/>
        </w:rPr>
        <w:t>ème</w:t>
      </w:r>
      <w:r w:rsidRPr="0067253E">
        <w:rPr>
          <w:rFonts w:asciiTheme="majorBidi" w:hAnsiTheme="majorBidi" w:cstheme="majorBidi"/>
        </w:rPr>
        <w:t xml:space="preserve"> jour d’entreposage sont comprises de 0.08 à 0.7 unités logarithmiques avec une viabilité de 92.89 à 99.2%.</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Pr="0067253E"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Au 28</w:t>
      </w:r>
      <w:r w:rsidRPr="0067253E">
        <w:rPr>
          <w:rFonts w:asciiTheme="majorBidi" w:hAnsiTheme="majorBidi" w:cstheme="majorBidi"/>
          <w:vertAlign w:val="superscript"/>
        </w:rPr>
        <w:t>ème</w:t>
      </w:r>
      <w:r w:rsidRPr="0067253E">
        <w:rPr>
          <w:rFonts w:asciiTheme="majorBidi" w:hAnsiTheme="majorBidi" w:cstheme="majorBidi"/>
        </w:rPr>
        <w:t xml:space="preserve"> jour d’entreposage, la quantité de biomasse vivante des souches BLR, LbRE-LSAS, Bb12, Lba CECT4529 et Lbp CECT748 est de l’ordre de 8.05, 9.07, 8.04, 8.81 et 7.73 logUFC/ml avec une amélioration de 40.48, 32.79, 25.42, 49.06 et 33.04% par rapport au témoin dans le même ordre.</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Pr="0067253E"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Alors qu’avec l’hydrolysat de caséine CH2, ces pertes sont de l’ordre de 10.73, 12.15, 11.09, 9.99 et 11.01% au 7</w:t>
      </w:r>
      <w:r w:rsidRPr="0067253E">
        <w:rPr>
          <w:rFonts w:asciiTheme="majorBidi" w:hAnsiTheme="majorBidi" w:cstheme="majorBidi"/>
          <w:vertAlign w:val="superscript"/>
        </w:rPr>
        <w:t>ème</w:t>
      </w:r>
      <w:r w:rsidRPr="0067253E">
        <w:rPr>
          <w:rFonts w:asciiTheme="majorBidi" w:hAnsiTheme="majorBidi" w:cstheme="majorBidi"/>
        </w:rPr>
        <w:t xml:space="preserve"> jour d’entreposage et atteignent des valeurs de 21.23, 24.07, 22.84, 19.34 et 23.26% au 28</w:t>
      </w:r>
      <w:r w:rsidRPr="0067253E">
        <w:rPr>
          <w:rFonts w:asciiTheme="majorBidi" w:hAnsiTheme="majorBidi" w:cstheme="majorBidi"/>
          <w:vertAlign w:val="superscript"/>
        </w:rPr>
        <w:t>ème</w:t>
      </w:r>
      <w:r w:rsidRPr="0067253E">
        <w:rPr>
          <w:rFonts w:asciiTheme="majorBidi" w:hAnsiTheme="majorBidi" w:cstheme="majorBidi"/>
        </w:rPr>
        <w:t xml:space="preserve"> jour, notées respectivement pour les souches bénéfiques BLR, LbRE-LSAS, Bb12, Lba CECT4529 et Lbp CECT748.</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Le temps de fermentation le plus court (4h06 à 4h42) observé par toutes les souches confondues a été obtenu en présence de lactosérum doux.</w:t>
      </w:r>
    </w:p>
    <w:p w:rsidR="006C66E7" w:rsidRDefault="006C66E7" w:rsidP="006C66E7">
      <w:pPr>
        <w:spacing w:before="0" w:after="0" w:line="360" w:lineRule="auto"/>
        <w:ind w:firstLine="360"/>
        <w:contextualSpacing/>
        <w:jc w:val="both"/>
        <w:rPr>
          <w:rFonts w:asciiTheme="majorBidi" w:hAnsiTheme="majorBidi" w:cstheme="majorBidi"/>
        </w:rPr>
      </w:pPr>
    </w:p>
    <w:p w:rsidR="006C66E7" w:rsidRPr="0067253E" w:rsidRDefault="006C66E7" w:rsidP="006C66E7">
      <w:pPr>
        <w:spacing w:before="0" w:after="0" w:line="360" w:lineRule="auto"/>
        <w:ind w:firstLine="360"/>
        <w:contextualSpacing/>
        <w:jc w:val="both"/>
        <w:rPr>
          <w:rFonts w:asciiTheme="majorBidi" w:hAnsiTheme="majorBidi" w:cstheme="majorBidi"/>
          <w:color w:val="4F81BD"/>
        </w:rPr>
      </w:pPr>
      <w:r w:rsidRPr="0067253E">
        <w:rPr>
          <w:rFonts w:asciiTheme="majorBidi" w:hAnsiTheme="majorBidi" w:cstheme="majorBidi"/>
        </w:rPr>
        <w:t xml:space="preserve">La faveur que procure le lait pour la croissance des microorganismes probiotiques en général est amplifiée par les ingrédients protéiques laitiers et en particulier par les hydrolysats de caséine </w:t>
      </w:r>
      <w:r w:rsidRPr="0067253E">
        <w:rPr>
          <w:rFonts w:asciiTheme="majorBidi" w:hAnsiTheme="majorBidi" w:cstheme="majorBidi"/>
          <w:color w:val="0000FF"/>
        </w:rPr>
        <w:t>(Dave et Shah, 1998)</w:t>
      </w:r>
      <w:r w:rsidRPr="0067253E">
        <w:rPr>
          <w:rFonts w:asciiTheme="majorBidi" w:hAnsiTheme="majorBidi" w:cstheme="majorBidi"/>
        </w:rPr>
        <w:t>.</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La culture mixte de deux ferments lactiques et d’une souche bénéfique a montré qu’en fin d’entreposage réfrigéré du lait fermenté en absence d’ingrédients protéiques (témoin), il y avait une diminution de la biomasse de toutes les souches bénéfiques testées. A titre d’exemple, les biomasses des souches LbRE-LSAS et Lba CECT4529 diminue </w:t>
      </w:r>
      <w:r w:rsidRPr="0067253E">
        <w:rPr>
          <w:rFonts w:asciiTheme="majorBidi" w:hAnsiTheme="majorBidi" w:cstheme="majorBidi"/>
        </w:rPr>
        <w:lastRenderedPageBreak/>
        <w:t>respectivement de 2.83 et 3.6 unités logarithmiques après 28 jours d’entreposage réfrigéré du lait fermenté en absence de protéines laitières.</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Pr="0067253E"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Dans ce même cas de figure, c'est-à-dire de culture des deux ferments lactiques en présence d’une souche bénéfique, mais en présence d’ingrédients protéiques laitiers, les mêmes souches, LbRE-LSAS et Lba CECT4529 voient la diminution de leur biomasse atténuée puisqu’elle se situe dans la fourchette de valeurs 1.07 et 2.66 pour la première et 1.3 et 2.55 unités log pour la deuxième souche. </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Ces résultats vont dans le même sens que ceux rapportés par </w:t>
      </w:r>
      <w:r w:rsidRPr="0067253E">
        <w:rPr>
          <w:rFonts w:asciiTheme="majorBidi" w:hAnsiTheme="majorBidi" w:cstheme="majorBidi"/>
          <w:color w:val="0000FF"/>
        </w:rPr>
        <w:t>Sodini et al. (2002)</w:t>
      </w:r>
      <w:r w:rsidRPr="0067253E">
        <w:rPr>
          <w:rFonts w:asciiTheme="majorBidi" w:hAnsiTheme="majorBidi" w:cstheme="majorBidi"/>
        </w:rPr>
        <w:t xml:space="preserve"> qui ont montré que la viabilité et la survie de deux souches probiotiques (</w:t>
      </w:r>
      <w:r w:rsidRPr="0067253E">
        <w:rPr>
          <w:rFonts w:asciiTheme="majorBidi" w:hAnsiTheme="majorBidi" w:cstheme="majorBidi"/>
          <w:i/>
          <w:iCs/>
        </w:rPr>
        <w:t>Lb. acidophilus</w:t>
      </w:r>
      <w:r w:rsidRPr="0067253E">
        <w:rPr>
          <w:rFonts w:asciiTheme="majorBidi" w:hAnsiTheme="majorBidi" w:cstheme="majorBidi"/>
        </w:rPr>
        <w:t xml:space="preserve"> LA5 et </w:t>
      </w:r>
      <w:r w:rsidRPr="0067253E">
        <w:rPr>
          <w:rFonts w:asciiTheme="majorBidi" w:hAnsiTheme="majorBidi" w:cstheme="majorBidi"/>
          <w:i/>
          <w:iCs/>
        </w:rPr>
        <w:t xml:space="preserve">Lb. rhamnosus </w:t>
      </w:r>
      <w:r w:rsidRPr="0067253E">
        <w:rPr>
          <w:rFonts w:asciiTheme="majorBidi" w:hAnsiTheme="majorBidi" w:cstheme="majorBidi"/>
        </w:rPr>
        <w:t xml:space="preserve">LR38) était différente. La biomasse de </w:t>
      </w:r>
      <w:r w:rsidRPr="0067253E">
        <w:rPr>
          <w:rFonts w:asciiTheme="majorBidi" w:hAnsiTheme="majorBidi" w:cstheme="majorBidi"/>
          <w:i/>
          <w:iCs/>
        </w:rPr>
        <w:t>Lb. acidophilus</w:t>
      </w:r>
      <w:r w:rsidRPr="0067253E">
        <w:rPr>
          <w:rFonts w:asciiTheme="majorBidi" w:hAnsiTheme="majorBidi" w:cstheme="majorBidi"/>
        </w:rPr>
        <w:t xml:space="preserve"> a diminué de façon significative (de 2 à 4.5 logUFC/ml) après 5 semaines d’entreposage à 4°C ; alors que celle de </w:t>
      </w:r>
      <w:r w:rsidRPr="0067253E">
        <w:rPr>
          <w:rFonts w:asciiTheme="majorBidi" w:hAnsiTheme="majorBidi" w:cstheme="majorBidi"/>
          <w:i/>
          <w:iCs/>
        </w:rPr>
        <w:t>Lb. rhamnosus LR35</w:t>
      </w:r>
      <w:r w:rsidRPr="0067253E">
        <w:rPr>
          <w:rFonts w:asciiTheme="majorBidi" w:hAnsiTheme="majorBidi" w:cstheme="majorBidi"/>
        </w:rPr>
        <w:t xml:space="preserve"> n’a pas changé significativement et la perte était inférieure à 1 log après 6 semaines d’entreposage.</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color w:val="0000FF"/>
        </w:rPr>
        <w:t>Gardini et al. (1999)</w:t>
      </w:r>
      <w:r w:rsidRPr="0067253E">
        <w:rPr>
          <w:rFonts w:asciiTheme="majorBidi" w:hAnsiTheme="majorBidi" w:cstheme="majorBidi"/>
        </w:rPr>
        <w:t xml:space="preserve"> ont remarqué que les cultures avec la souche probiotique </w:t>
      </w:r>
      <w:r w:rsidRPr="0067253E">
        <w:rPr>
          <w:rFonts w:asciiTheme="majorBidi" w:hAnsiTheme="majorBidi" w:cstheme="majorBidi"/>
          <w:i/>
          <w:iCs/>
        </w:rPr>
        <w:t>Lactobacillus salivarius UCC118</w:t>
      </w:r>
      <w:r w:rsidRPr="0067253E">
        <w:rPr>
          <w:rFonts w:asciiTheme="majorBidi" w:hAnsiTheme="majorBidi" w:cstheme="majorBidi"/>
        </w:rPr>
        <w:t xml:space="preserve"> accuse une diminution de la biomasse de cette souche probiotique égale à 3 log après 2 semaines d’entreposage réfrigéré.</w:t>
      </w:r>
    </w:p>
    <w:p w:rsidR="006C66E7" w:rsidRPr="0067253E"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 </w:t>
      </w: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Par ailleurs, </w:t>
      </w:r>
      <w:r w:rsidRPr="0067253E">
        <w:rPr>
          <w:rFonts w:asciiTheme="majorBidi" w:hAnsiTheme="majorBidi" w:cstheme="majorBidi"/>
          <w:color w:val="0000FF"/>
        </w:rPr>
        <w:t>Vinderola et al. (2000)</w:t>
      </w:r>
      <w:r w:rsidRPr="0067253E">
        <w:rPr>
          <w:rFonts w:asciiTheme="majorBidi" w:hAnsiTheme="majorBidi" w:cstheme="majorBidi"/>
        </w:rPr>
        <w:t xml:space="preserve"> avaient remarqué une diminution de biomasse de Lactobacillus acidophilus LA1 de 2.7 à 4.6 log après 4 semaines d’entreposage à 4°C.</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En outre, </w:t>
      </w:r>
      <w:r w:rsidRPr="0067253E">
        <w:rPr>
          <w:rFonts w:asciiTheme="majorBidi" w:hAnsiTheme="majorBidi" w:cstheme="majorBidi"/>
          <w:color w:val="0000FF"/>
        </w:rPr>
        <w:t>Sodini et al. (2002)</w:t>
      </w:r>
      <w:r w:rsidRPr="0067253E">
        <w:rPr>
          <w:rFonts w:asciiTheme="majorBidi" w:hAnsiTheme="majorBidi" w:cstheme="majorBidi"/>
        </w:rPr>
        <w:t xml:space="preserve"> avaient rapporté que les ferments lactiques ont un effet positif significatif sur la survie de </w:t>
      </w:r>
      <w:r w:rsidRPr="0067253E">
        <w:rPr>
          <w:rFonts w:asciiTheme="majorBidi" w:hAnsiTheme="majorBidi" w:cstheme="majorBidi"/>
          <w:i/>
          <w:iCs/>
        </w:rPr>
        <w:t>Lactobacillus</w:t>
      </w:r>
      <w:r w:rsidRPr="0067253E">
        <w:rPr>
          <w:rFonts w:asciiTheme="majorBidi" w:hAnsiTheme="majorBidi" w:cstheme="majorBidi"/>
        </w:rPr>
        <w:t xml:space="preserve"> </w:t>
      </w:r>
      <w:r w:rsidRPr="0067253E">
        <w:rPr>
          <w:rFonts w:asciiTheme="majorBidi" w:hAnsiTheme="majorBidi" w:cstheme="majorBidi"/>
          <w:i/>
          <w:iCs/>
        </w:rPr>
        <w:t>acidophilus</w:t>
      </w:r>
      <w:r w:rsidRPr="0067253E">
        <w:rPr>
          <w:rFonts w:asciiTheme="majorBidi" w:hAnsiTheme="majorBidi" w:cstheme="majorBidi"/>
        </w:rPr>
        <w:t xml:space="preserve"> LA5. La même observation a également été faite dans le cas d’autres souches probiotiques par d’autres auteurs </w:t>
      </w:r>
      <w:r w:rsidRPr="0067253E">
        <w:rPr>
          <w:rFonts w:asciiTheme="majorBidi" w:hAnsiTheme="majorBidi" w:cstheme="majorBidi"/>
          <w:color w:val="0000FF"/>
        </w:rPr>
        <w:t>(Dave et Shah, 1997 ; Saxelin et al., 1999 ; Vinderola et al.,, 2000)</w:t>
      </w:r>
      <w:r w:rsidRPr="0067253E">
        <w:rPr>
          <w:rFonts w:asciiTheme="majorBidi" w:hAnsiTheme="majorBidi" w:cstheme="majorBidi"/>
        </w:rPr>
        <w:t>.</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Nos résultats montrent que la survie de </w:t>
      </w:r>
      <w:r w:rsidRPr="0067253E">
        <w:rPr>
          <w:rFonts w:asciiTheme="majorBidi" w:hAnsiTheme="majorBidi" w:cstheme="majorBidi"/>
          <w:i/>
          <w:iCs/>
        </w:rPr>
        <w:t>Streptococcus thermophilus</w:t>
      </w:r>
      <w:r w:rsidRPr="0067253E">
        <w:rPr>
          <w:rFonts w:asciiTheme="majorBidi" w:hAnsiTheme="majorBidi" w:cstheme="majorBidi"/>
        </w:rPr>
        <w:t xml:space="preserve"> était plus élevée que celle de </w:t>
      </w:r>
      <w:r w:rsidRPr="0067253E">
        <w:rPr>
          <w:rFonts w:asciiTheme="majorBidi" w:hAnsiTheme="majorBidi" w:cstheme="majorBidi"/>
          <w:i/>
          <w:iCs/>
        </w:rPr>
        <w:t>Lactobacillus bulgaricus</w:t>
      </w:r>
      <w:r w:rsidRPr="0067253E">
        <w:rPr>
          <w:rFonts w:asciiTheme="majorBidi" w:hAnsiTheme="majorBidi" w:cstheme="majorBidi"/>
        </w:rPr>
        <w:t xml:space="preserve"> dans toutes les cultures au cours de l’entreposage à 4°C, et ils sont en accord avec ceux rapportés dans la publication de </w:t>
      </w:r>
      <w:r w:rsidRPr="0067253E">
        <w:rPr>
          <w:rFonts w:asciiTheme="majorBidi" w:hAnsiTheme="majorBidi" w:cstheme="majorBidi"/>
          <w:color w:val="0000FF"/>
        </w:rPr>
        <w:t>Lanciotti et al. (2004)</w:t>
      </w:r>
      <w:r w:rsidRPr="0067253E">
        <w:rPr>
          <w:rFonts w:asciiTheme="majorBidi" w:hAnsiTheme="majorBidi" w:cstheme="majorBidi"/>
        </w:rPr>
        <w:t>.</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i/>
          <w:iCs/>
        </w:rPr>
        <w:lastRenderedPageBreak/>
        <w:t>Lb. bulgaricus</w:t>
      </w:r>
      <w:r w:rsidRPr="0067253E">
        <w:rPr>
          <w:rFonts w:asciiTheme="majorBidi" w:hAnsiTheme="majorBidi" w:cstheme="majorBidi"/>
        </w:rPr>
        <w:t xml:space="preserve"> produit des aminoacides et peptides qui stimulent la croissance des Streptocoques, à son activité protéolytique </w:t>
      </w:r>
      <w:r w:rsidRPr="0067253E">
        <w:rPr>
          <w:rFonts w:asciiTheme="majorBidi" w:hAnsiTheme="majorBidi" w:cstheme="majorBidi"/>
          <w:color w:val="0000FF"/>
        </w:rPr>
        <w:t>(Tamime et Robinson, 2007)</w:t>
      </w:r>
      <w:r w:rsidRPr="0067253E">
        <w:rPr>
          <w:rFonts w:asciiTheme="majorBidi" w:hAnsiTheme="majorBidi" w:cstheme="majorBidi"/>
        </w:rPr>
        <w:t>.</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Dans une étude comparative de la survie des souches probiotiques dans le lait fermenté </w:t>
      </w:r>
      <w:r w:rsidRPr="0067253E">
        <w:rPr>
          <w:rFonts w:asciiTheme="majorBidi" w:hAnsiTheme="majorBidi" w:cstheme="majorBidi"/>
          <w:color w:val="0000FF"/>
        </w:rPr>
        <w:t>Shah et al., (1995)</w:t>
      </w:r>
      <w:r w:rsidRPr="0067253E">
        <w:rPr>
          <w:rFonts w:asciiTheme="majorBidi" w:hAnsiTheme="majorBidi" w:cstheme="majorBidi"/>
          <w:color w:val="4F81BD"/>
        </w:rPr>
        <w:t xml:space="preserve"> </w:t>
      </w:r>
      <w:r w:rsidRPr="0067253E">
        <w:rPr>
          <w:rFonts w:asciiTheme="majorBidi" w:hAnsiTheme="majorBidi" w:cstheme="majorBidi"/>
        </w:rPr>
        <w:t xml:space="preserve">avaient constaté que la plus forte diminution de biomasse a été notée chez </w:t>
      </w:r>
      <w:r w:rsidRPr="0067253E">
        <w:rPr>
          <w:rFonts w:asciiTheme="majorBidi" w:hAnsiTheme="majorBidi" w:cstheme="majorBidi"/>
          <w:i/>
          <w:iCs/>
        </w:rPr>
        <w:t>Bifidobacterium bifidum</w:t>
      </w:r>
      <w:r w:rsidRPr="0067253E">
        <w:rPr>
          <w:rFonts w:asciiTheme="majorBidi" w:hAnsiTheme="majorBidi" w:cstheme="majorBidi"/>
        </w:rPr>
        <w:t xml:space="preserve"> (de 3.5 à 7 unités logarithmiques) et </w:t>
      </w:r>
      <w:r w:rsidRPr="0067253E">
        <w:rPr>
          <w:rFonts w:asciiTheme="majorBidi" w:hAnsiTheme="majorBidi" w:cstheme="majorBidi"/>
          <w:i/>
          <w:iCs/>
        </w:rPr>
        <w:t>Lactobacillus acidophilus</w:t>
      </w:r>
      <w:r w:rsidRPr="0067253E">
        <w:rPr>
          <w:rFonts w:asciiTheme="majorBidi" w:hAnsiTheme="majorBidi" w:cstheme="majorBidi"/>
        </w:rPr>
        <w:t xml:space="preserve"> (de 1.5 à 6 unités logarithmiques).</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La différence dans la viabilité des souches probiotiques peut être attribuée à l’apparition d’un certain nombre de facteurs inhibiteurs comme l’acidité, le pH et l’oxygène</w:t>
      </w:r>
      <w:r w:rsidRPr="0067253E">
        <w:rPr>
          <w:rFonts w:asciiTheme="majorBidi" w:hAnsiTheme="majorBidi" w:cstheme="majorBidi"/>
          <w:vertAlign w:val="subscript"/>
        </w:rPr>
        <w:t xml:space="preserve"> </w:t>
      </w:r>
      <w:r w:rsidRPr="0067253E">
        <w:rPr>
          <w:rFonts w:asciiTheme="majorBidi" w:hAnsiTheme="majorBidi" w:cstheme="majorBidi"/>
          <w:color w:val="0000FF"/>
        </w:rPr>
        <w:t>(Dave et Shah, 1997 et  Shah, 2000)</w:t>
      </w:r>
      <w:r w:rsidRPr="0067253E">
        <w:rPr>
          <w:rFonts w:asciiTheme="majorBidi" w:hAnsiTheme="majorBidi" w:cstheme="majorBidi"/>
        </w:rPr>
        <w:t>.</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Notre étude a montré que pendant l’entreposage, la survie de </w:t>
      </w:r>
      <w:r w:rsidRPr="0067253E">
        <w:rPr>
          <w:rFonts w:asciiTheme="majorBidi" w:hAnsiTheme="majorBidi" w:cstheme="majorBidi"/>
          <w:i/>
          <w:iCs/>
        </w:rPr>
        <w:t>Lb. bulgaricus</w:t>
      </w:r>
      <w:r w:rsidRPr="0067253E">
        <w:rPr>
          <w:rFonts w:asciiTheme="majorBidi" w:hAnsiTheme="majorBidi" w:cstheme="majorBidi"/>
        </w:rPr>
        <w:t xml:space="preserve"> était plus affectée que celle de </w:t>
      </w:r>
      <w:r w:rsidRPr="0067253E">
        <w:rPr>
          <w:rFonts w:asciiTheme="majorBidi" w:hAnsiTheme="majorBidi" w:cstheme="majorBidi"/>
          <w:i/>
          <w:iCs/>
        </w:rPr>
        <w:t>Streptococcus</w:t>
      </w:r>
      <w:r w:rsidRPr="0067253E">
        <w:rPr>
          <w:rFonts w:asciiTheme="majorBidi" w:hAnsiTheme="majorBidi" w:cstheme="majorBidi"/>
        </w:rPr>
        <w:t xml:space="preserve"> </w:t>
      </w:r>
      <w:r w:rsidRPr="0067253E">
        <w:rPr>
          <w:rFonts w:asciiTheme="majorBidi" w:hAnsiTheme="majorBidi" w:cstheme="majorBidi"/>
          <w:i/>
          <w:iCs/>
        </w:rPr>
        <w:t>thermophilus</w:t>
      </w:r>
      <w:r w:rsidRPr="0067253E">
        <w:rPr>
          <w:rFonts w:asciiTheme="majorBidi" w:hAnsiTheme="majorBidi" w:cstheme="majorBidi"/>
        </w:rPr>
        <w:t xml:space="preserve">. Cette observation a également été auparavant rapportée par de nombreux auteurs </w:t>
      </w:r>
      <w:r w:rsidRPr="0067253E">
        <w:rPr>
          <w:rFonts w:asciiTheme="majorBidi" w:hAnsiTheme="majorBidi" w:cstheme="majorBidi"/>
          <w:color w:val="0000FF"/>
        </w:rPr>
        <w:t>(Kim et al., 1993 ; Medina et Jardono, 1994 ; Lim et al., 1995 ; Dave et Shah, 1997 et Akalin et al., 2004)</w:t>
      </w:r>
      <w:r w:rsidRPr="0067253E">
        <w:rPr>
          <w:rFonts w:asciiTheme="majorBidi" w:hAnsiTheme="majorBidi" w:cstheme="majorBidi"/>
        </w:rPr>
        <w:t>.</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Dans la présente expérimentation, il n’y avait pas de différence significative dans le taux de survie des souches BLR et Bb12 dans tous les cas de cultures. Ce résultat est quelque peu en contradiction avec celui d’</w:t>
      </w:r>
      <w:r w:rsidRPr="0067253E">
        <w:rPr>
          <w:rFonts w:asciiTheme="majorBidi" w:hAnsiTheme="majorBidi" w:cstheme="majorBidi"/>
          <w:color w:val="0000FF"/>
        </w:rPr>
        <w:t>Akalin et al. (2004)</w:t>
      </w:r>
      <w:r w:rsidRPr="0067253E">
        <w:rPr>
          <w:rFonts w:asciiTheme="majorBidi" w:hAnsiTheme="majorBidi" w:cstheme="majorBidi"/>
        </w:rPr>
        <w:t xml:space="preserve"> qui avaient constaté que la survie de la souche Bb12 était plus élevée que celle de Bifidobacterium longum au cours de l’entreposage à 4°C.</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Dans leur publication de 1995, Shah et al. attribuent l’altération de la survie des bifidobactéries au pH acide du lait fermenté. La même constatation a été faite auparavant par </w:t>
      </w:r>
      <w:r w:rsidRPr="0067253E">
        <w:rPr>
          <w:rFonts w:asciiTheme="majorBidi" w:hAnsiTheme="majorBidi" w:cstheme="majorBidi"/>
          <w:color w:val="0000FF"/>
        </w:rPr>
        <w:t>Sakei et al. (1987)</w:t>
      </w:r>
      <w:r w:rsidRPr="0067253E">
        <w:rPr>
          <w:rFonts w:asciiTheme="majorBidi" w:hAnsiTheme="majorBidi" w:cstheme="majorBidi"/>
        </w:rPr>
        <w:t>.</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color w:val="0000FF"/>
        </w:rPr>
        <w:t>Akalin et al. (2004)</w:t>
      </w:r>
      <w:r w:rsidRPr="0067253E">
        <w:rPr>
          <w:rFonts w:asciiTheme="majorBidi" w:hAnsiTheme="majorBidi" w:cstheme="majorBidi"/>
        </w:rPr>
        <w:t>, avaient remarqué que la viabilité des bifidobactéries dans le yaourt entreposé à 4°C favorisée par la présence fructooligosaccharides.</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Par ailleurs, l’addition de cystéine, de concentré de protéines, de poudre de lait et d’hydrolysat de caséines augmente la survie des bifidobactéries selon </w:t>
      </w:r>
      <w:r w:rsidRPr="0067253E">
        <w:rPr>
          <w:rFonts w:asciiTheme="majorBidi" w:hAnsiTheme="majorBidi" w:cstheme="majorBidi"/>
          <w:color w:val="0000FF"/>
        </w:rPr>
        <w:t>Dave et Shah (1998)</w:t>
      </w:r>
      <w:r w:rsidRPr="0067253E">
        <w:rPr>
          <w:rFonts w:asciiTheme="majorBidi" w:hAnsiTheme="majorBidi" w:cstheme="majorBidi"/>
        </w:rPr>
        <w:t>.</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lastRenderedPageBreak/>
        <w:t xml:space="preserve">L’augmentation de la viabilité des Streptocoques a été constatée dans des cocultures avec des souches bénéfiques dans le lait fermenté additionné de la poudre de concentré de protéine de lactosérum WPC </w:t>
      </w:r>
      <w:r w:rsidRPr="0067253E">
        <w:rPr>
          <w:rFonts w:asciiTheme="majorBidi" w:hAnsiTheme="majorBidi" w:cstheme="majorBidi"/>
          <w:color w:val="0000FF"/>
        </w:rPr>
        <w:t>(Martin-Diano et al., 2003 ; Lucas et al., 2004)</w:t>
      </w:r>
      <w:r w:rsidRPr="0067253E">
        <w:rPr>
          <w:rFonts w:asciiTheme="majorBidi" w:hAnsiTheme="majorBidi" w:cstheme="majorBidi"/>
        </w:rPr>
        <w:t>.</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i/>
          <w:iCs/>
        </w:rPr>
        <w:t>Lb</w:t>
      </w:r>
      <w:r w:rsidRPr="0067253E">
        <w:rPr>
          <w:rFonts w:asciiTheme="majorBidi" w:hAnsiTheme="majorBidi" w:cstheme="majorBidi"/>
        </w:rPr>
        <w:t xml:space="preserve">. </w:t>
      </w:r>
      <w:r w:rsidRPr="0067253E">
        <w:rPr>
          <w:rFonts w:asciiTheme="majorBidi" w:hAnsiTheme="majorBidi" w:cstheme="majorBidi"/>
          <w:i/>
          <w:iCs/>
        </w:rPr>
        <w:t>bulgaricus</w:t>
      </w:r>
      <w:r w:rsidRPr="0067253E">
        <w:rPr>
          <w:rFonts w:asciiTheme="majorBidi" w:hAnsiTheme="majorBidi" w:cstheme="majorBidi"/>
        </w:rPr>
        <w:t xml:space="preserve"> est une souche plus acidifiante que </w:t>
      </w:r>
      <w:r w:rsidRPr="0067253E">
        <w:rPr>
          <w:rFonts w:asciiTheme="majorBidi" w:hAnsiTheme="majorBidi" w:cstheme="majorBidi"/>
          <w:i/>
          <w:iCs/>
        </w:rPr>
        <w:t>Streptococcus</w:t>
      </w:r>
      <w:r w:rsidRPr="0067253E">
        <w:rPr>
          <w:rFonts w:asciiTheme="majorBidi" w:hAnsiTheme="majorBidi" w:cstheme="majorBidi"/>
        </w:rPr>
        <w:t xml:space="preserve"> </w:t>
      </w:r>
      <w:r w:rsidRPr="0067253E">
        <w:rPr>
          <w:rFonts w:asciiTheme="majorBidi" w:hAnsiTheme="majorBidi" w:cstheme="majorBidi"/>
          <w:i/>
          <w:iCs/>
        </w:rPr>
        <w:t>thermophilus</w:t>
      </w:r>
      <w:r w:rsidRPr="0067253E">
        <w:rPr>
          <w:rFonts w:asciiTheme="majorBidi" w:hAnsiTheme="majorBidi" w:cstheme="majorBidi"/>
        </w:rPr>
        <w:t xml:space="preserve"> et son activité de synthèse post-fermentaire d’acide lactique pourrait affecter la viabilité des souches probiotiques </w:t>
      </w:r>
      <w:r w:rsidRPr="0067253E">
        <w:rPr>
          <w:rFonts w:asciiTheme="majorBidi" w:hAnsiTheme="majorBidi" w:cstheme="majorBidi"/>
          <w:color w:val="0000FF"/>
        </w:rPr>
        <w:t>(Shah et al., 1995)</w:t>
      </w:r>
      <w:r w:rsidRPr="0067253E">
        <w:rPr>
          <w:rFonts w:asciiTheme="majorBidi" w:hAnsiTheme="majorBidi" w:cstheme="majorBidi"/>
        </w:rPr>
        <w:t>.</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La diminution de la viabilité de </w:t>
      </w:r>
      <w:r w:rsidRPr="0067253E">
        <w:rPr>
          <w:rFonts w:asciiTheme="majorBidi" w:hAnsiTheme="majorBidi" w:cstheme="majorBidi"/>
          <w:i/>
          <w:iCs/>
        </w:rPr>
        <w:t>Lb. bulgaricus</w:t>
      </w:r>
      <w:r w:rsidRPr="0067253E">
        <w:rPr>
          <w:rFonts w:asciiTheme="majorBidi" w:hAnsiTheme="majorBidi" w:cstheme="majorBidi"/>
        </w:rPr>
        <w:t xml:space="preserve"> dans quelques types de lait fermenté en culture mixte avec les bifidobactéries a été décrite par </w:t>
      </w:r>
      <w:r w:rsidRPr="0067253E">
        <w:rPr>
          <w:rFonts w:asciiTheme="majorBidi" w:hAnsiTheme="majorBidi" w:cstheme="majorBidi"/>
          <w:color w:val="0000FF"/>
        </w:rPr>
        <w:t>Rybka et Fllet. (1997)</w:t>
      </w:r>
      <w:r w:rsidRPr="0067253E">
        <w:rPr>
          <w:rFonts w:asciiTheme="majorBidi" w:hAnsiTheme="majorBidi" w:cstheme="majorBidi"/>
        </w:rPr>
        <w:t xml:space="preserve">. En revanche, les travaux de </w:t>
      </w:r>
      <w:r w:rsidRPr="0067253E">
        <w:rPr>
          <w:rFonts w:asciiTheme="majorBidi" w:hAnsiTheme="majorBidi" w:cstheme="majorBidi"/>
          <w:color w:val="0000FF"/>
        </w:rPr>
        <w:t>Medina et Jordano. (1994)</w:t>
      </w:r>
      <w:r w:rsidRPr="0067253E">
        <w:rPr>
          <w:rFonts w:asciiTheme="majorBidi" w:hAnsiTheme="majorBidi" w:cstheme="majorBidi"/>
        </w:rPr>
        <w:t xml:space="preserve"> avaient montré que la biomasse de </w:t>
      </w:r>
      <w:r w:rsidRPr="0067253E">
        <w:rPr>
          <w:rFonts w:asciiTheme="majorBidi" w:hAnsiTheme="majorBidi" w:cstheme="majorBidi"/>
          <w:i/>
          <w:iCs/>
        </w:rPr>
        <w:t>Lb. bulgaricus</w:t>
      </w:r>
      <w:r w:rsidRPr="0067253E">
        <w:rPr>
          <w:rFonts w:asciiTheme="majorBidi" w:hAnsiTheme="majorBidi" w:cstheme="majorBidi"/>
        </w:rPr>
        <w:t xml:space="preserve"> dépassait les 7 logUFC/ml dans le lait fermenté contenant des bifidobactéries pendant 25 jours d’entreposage à 4°C.</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L’étude menée par </w:t>
      </w:r>
      <w:r w:rsidRPr="0067253E">
        <w:rPr>
          <w:rFonts w:asciiTheme="majorBidi" w:hAnsiTheme="majorBidi" w:cstheme="majorBidi"/>
          <w:color w:val="0000FF"/>
        </w:rPr>
        <w:t>Akalin et al. (2007)</w:t>
      </w:r>
      <w:r w:rsidRPr="0067253E">
        <w:rPr>
          <w:rFonts w:asciiTheme="majorBidi" w:hAnsiTheme="majorBidi" w:cstheme="majorBidi"/>
        </w:rPr>
        <w:t xml:space="preserve"> a révélé que la croissance de </w:t>
      </w:r>
      <w:r w:rsidRPr="0067253E">
        <w:rPr>
          <w:rFonts w:asciiTheme="majorBidi" w:hAnsiTheme="majorBidi" w:cstheme="majorBidi"/>
          <w:i/>
          <w:iCs/>
        </w:rPr>
        <w:t>Bifidobacterium animalis</w:t>
      </w:r>
      <w:r w:rsidRPr="0067253E">
        <w:rPr>
          <w:rFonts w:asciiTheme="majorBidi" w:hAnsiTheme="majorBidi" w:cstheme="majorBidi"/>
        </w:rPr>
        <w:t xml:space="preserve"> ssp </w:t>
      </w:r>
      <w:r w:rsidRPr="0067253E">
        <w:rPr>
          <w:rFonts w:asciiTheme="majorBidi" w:hAnsiTheme="majorBidi" w:cstheme="majorBidi"/>
          <w:i/>
          <w:iCs/>
        </w:rPr>
        <w:t>lactis</w:t>
      </w:r>
      <w:r w:rsidRPr="0067253E">
        <w:rPr>
          <w:rFonts w:asciiTheme="majorBidi" w:hAnsiTheme="majorBidi" w:cstheme="majorBidi"/>
        </w:rPr>
        <w:t xml:space="preserve"> Bb12 a été améliorée dans le yaourt supplémenté avec du concentré de protéines de lactosérum WPC (P&lt;0.05) par rapport au témoin excepté au 14</w:t>
      </w:r>
      <w:r w:rsidRPr="0067253E">
        <w:rPr>
          <w:rFonts w:asciiTheme="majorBidi" w:hAnsiTheme="majorBidi" w:cstheme="majorBidi"/>
          <w:vertAlign w:val="superscript"/>
        </w:rPr>
        <w:t>ème</w:t>
      </w:r>
      <w:r w:rsidRPr="0067253E">
        <w:rPr>
          <w:rFonts w:asciiTheme="majorBidi" w:hAnsiTheme="majorBidi" w:cstheme="majorBidi"/>
        </w:rPr>
        <w:t xml:space="preserve"> et 28</w:t>
      </w:r>
      <w:r w:rsidRPr="0067253E">
        <w:rPr>
          <w:rFonts w:asciiTheme="majorBidi" w:hAnsiTheme="majorBidi" w:cstheme="majorBidi"/>
          <w:vertAlign w:val="superscript"/>
        </w:rPr>
        <w:t>ème</w:t>
      </w:r>
      <w:r w:rsidRPr="0067253E">
        <w:rPr>
          <w:rFonts w:asciiTheme="majorBidi" w:hAnsiTheme="majorBidi" w:cstheme="majorBidi"/>
        </w:rPr>
        <w:t xml:space="preserve"> jour d’entreposage.</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La composition du concentré de protéines de lactosérum (WPC) a un effet significatif (P&lt;0.05) sur l’augmentation de la croissance et de la viabilité de </w:t>
      </w:r>
      <w:r w:rsidRPr="0067253E">
        <w:rPr>
          <w:rFonts w:asciiTheme="majorBidi" w:hAnsiTheme="majorBidi" w:cstheme="majorBidi"/>
          <w:i/>
          <w:iCs/>
        </w:rPr>
        <w:t>Bifidobacterium ssp</w:t>
      </w:r>
      <w:r w:rsidRPr="0067253E">
        <w:rPr>
          <w:rFonts w:asciiTheme="majorBidi" w:hAnsiTheme="majorBidi" w:cstheme="majorBidi"/>
        </w:rPr>
        <w:t xml:space="preserve"> dans la lait de chèvre </w:t>
      </w:r>
      <w:r w:rsidRPr="0067253E">
        <w:rPr>
          <w:rFonts w:asciiTheme="majorBidi" w:hAnsiTheme="majorBidi" w:cstheme="majorBidi"/>
          <w:color w:val="0000FF"/>
        </w:rPr>
        <w:t>(Bozanic et Tratnik., 2001 ; Martin-Diana et al., 2003)</w:t>
      </w:r>
      <w:r w:rsidRPr="0067253E">
        <w:rPr>
          <w:rFonts w:asciiTheme="majorBidi" w:hAnsiTheme="majorBidi" w:cstheme="majorBidi"/>
        </w:rPr>
        <w:t>.</w:t>
      </w:r>
    </w:p>
    <w:p w:rsidR="006C66E7" w:rsidRPr="0067253E" w:rsidRDefault="006C66E7" w:rsidP="006C66E7">
      <w:pPr>
        <w:spacing w:before="0" w:after="0" w:line="360" w:lineRule="auto"/>
        <w:ind w:firstLine="360"/>
        <w:contextualSpacing/>
        <w:jc w:val="both"/>
        <w:rPr>
          <w:rFonts w:asciiTheme="majorBidi" w:hAnsiTheme="majorBidi" w:cstheme="majorBidi"/>
          <w:i/>
          <w:iCs/>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color w:val="0000FF"/>
        </w:rPr>
        <w:t>Mc Comas et Gilliland</w:t>
      </w:r>
      <w:r w:rsidRPr="0067253E">
        <w:rPr>
          <w:rFonts w:asciiTheme="majorBidi" w:hAnsiTheme="majorBidi" w:cstheme="majorBidi"/>
        </w:rPr>
        <w:t xml:space="preserve"> ont remarqué que la souche probiotique </w:t>
      </w:r>
      <w:r w:rsidRPr="0067253E">
        <w:rPr>
          <w:rFonts w:asciiTheme="majorBidi" w:hAnsiTheme="majorBidi" w:cstheme="majorBidi"/>
          <w:i/>
          <w:iCs/>
        </w:rPr>
        <w:t>B. longum S9</w:t>
      </w:r>
      <w:r w:rsidRPr="0067253E">
        <w:rPr>
          <w:rFonts w:asciiTheme="majorBidi" w:hAnsiTheme="majorBidi" w:cstheme="majorBidi"/>
        </w:rPr>
        <w:t xml:space="preserve"> était stimulée de façon significative (P&lt;0.05) par l’hydrolysat de protéines dans le yaourt. Des  mêmes résultats comparables ont été obtenus par </w:t>
      </w:r>
      <w:r w:rsidRPr="0067253E">
        <w:rPr>
          <w:rFonts w:asciiTheme="majorBidi" w:hAnsiTheme="majorBidi" w:cstheme="majorBidi"/>
          <w:color w:val="0000FF"/>
        </w:rPr>
        <w:t>Janer et al. (2004)</w:t>
      </w:r>
      <w:r w:rsidRPr="0067253E">
        <w:rPr>
          <w:rFonts w:asciiTheme="majorBidi" w:hAnsiTheme="majorBidi" w:cstheme="majorBidi"/>
        </w:rPr>
        <w:t xml:space="preserve"> avec la souche </w:t>
      </w:r>
      <w:r w:rsidRPr="0067253E">
        <w:rPr>
          <w:rFonts w:asciiTheme="majorBidi" w:hAnsiTheme="majorBidi" w:cstheme="majorBidi"/>
          <w:i/>
          <w:iCs/>
        </w:rPr>
        <w:t>Bifidobacterium</w:t>
      </w:r>
      <w:r w:rsidRPr="0067253E">
        <w:rPr>
          <w:rFonts w:asciiTheme="majorBidi" w:hAnsiTheme="majorBidi" w:cstheme="majorBidi"/>
        </w:rPr>
        <w:t xml:space="preserve"> </w:t>
      </w:r>
      <w:r w:rsidRPr="0067253E">
        <w:rPr>
          <w:rFonts w:asciiTheme="majorBidi" w:hAnsiTheme="majorBidi" w:cstheme="majorBidi"/>
          <w:i/>
          <w:iCs/>
        </w:rPr>
        <w:t>animalis</w:t>
      </w:r>
      <w:r w:rsidRPr="0067253E">
        <w:rPr>
          <w:rFonts w:asciiTheme="majorBidi" w:hAnsiTheme="majorBidi" w:cstheme="majorBidi"/>
        </w:rPr>
        <w:t xml:space="preserve"> ssp </w:t>
      </w:r>
      <w:r w:rsidRPr="0067253E">
        <w:rPr>
          <w:rFonts w:asciiTheme="majorBidi" w:hAnsiTheme="majorBidi" w:cstheme="majorBidi"/>
          <w:i/>
          <w:iCs/>
        </w:rPr>
        <w:t>lactis</w:t>
      </w:r>
      <w:r w:rsidRPr="0067253E">
        <w:rPr>
          <w:rFonts w:asciiTheme="majorBidi" w:hAnsiTheme="majorBidi" w:cstheme="majorBidi"/>
        </w:rPr>
        <w:t xml:space="preserve"> additionnée de concentré de protéines de lactosérum dans le yaourt.</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Toujours dans le même souci de préservation de la survie des souches probiotiques, </w:t>
      </w:r>
      <w:r w:rsidRPr="0067253E">
        <w:rPr>
          <w:rFonts w:asciiTheme="majorBidi" w:hAnsiTheme="majorBidi" w:cstheme="majorBidi"/>
          <w:color w:val="0000FF"/>
        </w:rPr>
        <w:t>Micanel et al. (1997)</w:t>
      </w:r>
      <w:r w:rsidRPr="0067253E">
        <w:rPr>
          <w:rFonts w:asciiTheme="majorBidi" w:hAnsiTheme="majorBidi" w:cstheme="majorBidi"/>
          <w:color w:val="4F81BD"/>
        </w:rPr>
        <w:t xml:space="preserve"> </w:t>
      </w:r>
      <w:r w:rsidRPr="0067253E">
        <w:rPr>
          <w:rFonts w:asciiTheme="majorBidi" w:hAnsiTheme="majorBidi" w:cstheme="majorBidi"/>
        </w:rPr>
        <w:t>n’ont trouvé aucun effet de l’état écrémé du lait sur la viabilité des bactéries probiotiques commerciales dans les yaourts australiens.</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lastRenderedPageBreak/>
        <w:t>Les travaux d’</w:t>
      </w:r>
      <w:r w:rsidRPr="0067253E">
        <w:rPr>
          <w:rFonts w:asciiTheme="majorBidi" w:hAnsiTheme="majorBidi" w:cstheme="majorBidi"/>
          <w:color w:val="0000FF"/>
        </w:rPr>
        <w:t>Akalin et al. (2007)</w:t>
      </w:r>
      <w:r w:rsidRPr="0067253E">
        <w:rPr>
          <w:rFonts w:asciiTheme="majorBidi" w:hAnsiTheme="majorBidi" w:cstheme="majorBidi"/>
        </w:rPr>
        <w:t xml:space="preserve">, ont montré que la biomasse de </w:t>
      </w:r>
      <w:r w:rsidRPr="0067253E">
        <w:rPr>
          <w:rFonts w:asciiTheme="majorBidi" w:hAnsiTheme="majorBidi" w:cstheme="majorBidi"/>
          <w:i/>
          <w:iCs/>
        </w:rPr>
        <w:t xml:space="preserve">Bifidobacterium animalis </w:t>
      </w:r>
      <w:r w:rsidRPr="0067253E">
        <w:rPr>
          <w:rFonts w:asciiTheme="majorBidi" w:hAnsiTheme="majorBidi" w:cstheme="majorBidi"/>
        </w:rPr>
        <w:t xml:space="preserve">ssp </w:t>
      </w:r>
      <w:r w:rsidRPr="0067253E">
        <w:rPr>
          <w:rFonts w:asciiTheme="majorBidi" w:hAnsiTheme="majorBidi" w:cstheme="majorBidi"/>
          <w:i/>
          <w:iCs/>
        </w:rPr>
        <w:t>lactis</w:t>
      </w:r>
      <w:r w:rsidRPr="0067253E">
        <w:rPr>
          <w:rFonts w:asciiTheme="majorBidi" w:hAnsiTheme="majorBidi" w:cstheme="majorBidi"/>
        </w:rPr>
        <w:t xml:space="preserve"> n’a pas diminué dans tous les échantillons jusqu’au 21</w:t>
      </w:r>
      <w:r w:rsidRPr="0067253E">
        <w:rPr>
          <w:rFonts w:asciiTheme="majorBidi" w:hAnsiTheme="majorBidi" w:cstheme="majorBidi"/>
          <w:vertAlign w:val="superscript"/>
        </w:rPr>
        <w:t>ème</w:t>
      </w:r>
      <w:r w:rsidRPr="0067253E">
        <w:rPr>
          <w:rFonts w:asciiTheme="majorBidi" w:hAnsiTheme="majorBidi" w:cstheme="majorBidi"/>
        </w:rPr>
        <w:t xml:space="preserve"> jour d’entreposage réfrigéré. Vers la fin de la période d’entreposage (28 j), la biomasse de </w:t>
      </w:r>
      <w:r w:rsidRPr="0067253E">
        <w:rPr>
          <w:rFonts w:asciiTheme="majorBidi" w:hAnsiTheme="majorBidi" w:cstheme="majorBidi"/>
          <w:i/>
          <w:iCs/>
        </w:rPr>
        <w:t>B. animalis</w:t>
      </w:r>
      <w:r w:rsidRPr="0067253E">
        <w:rPr>
          <w:rFonts w:asciiTheme="majorBidi" w:hAnsiTheme="majorBidi" w:cstheme="majorBidi"/>
        </w:rPr>
        <w:t xml:space="preserve"> ssp </w:t>
      </w:r>
      <w:r w:rsidRPr="0067253E">
        <w:rPr>
          <w:rFonts w:asciiTheme="majorBidi" w:hAnsiTheme="majorBidi" w:cstheme="majorBidi"/>
          <w:i/>
          <w:iCs/>
        </w:rPr>
        <w:t>lactis</w:t>
      </w:r>
      <w:r w:rsidRPr="0067253E">
        <w:rPr>
          <w:rFonts w:asciiTheme="majorBidi" w:hAnsiTheme="majorBidi" w:cstheme="majorBidi"/>
        </w:rPr>
        <w:t xml:space="preserve"> (Bb12) diminue de façon significative (P&lt;0.05) seulement avec le yaourt en matière grasse entier (FFY) et yaourt en matière grasse entier en présence de concentré de protéines de lactosérum (RFY-WPC), mais reste toujours supérieure à 8 logUFC/ml dans tous les yaourts. Ils ont constaté que </w:t>
      </w:r>
      <w:r w:rsidRPr="0067253E">
        <w:rPr>
          <w:rFonts w:asciiTheme="majorBidi" w:hAnsiTheme="majorBidi" w:cstheme="majorBidi"/>
          <w:i/>
          <w:iCs/>
        </w:rPr>
        <w:t>B. animalis</w:t>
      </w:r>
      <w:r w:rsidRPr="0067253E">
        <w:rPr>
          <w:rFonts w:asciiTheme="majorBidi" w:hAnsiTheme="majorBidi" w:cstheme="majorBidi"/>
        </w:rPr>
        <w:t xml:space="preserve"> ssp </w:t>
      </w:r>
      <w:r w:rsidRPr="0067253E">
        <w:rPr>
          <w:rFonts w:asciiTheme="majorBidi" w:hAnsiTheme="majorBidi" w:cstheme="majorBidi"/>
          <w:i/>
          <w:iCs/>
        </w:rPr>
        <w:t>lactis</w:t>
      </w:r>
      <w:r w:rsidRPr="0067253E">
        <w:rPr>
          <w:rFonts w:asciiTheme="majorBidi" w:hAnsiTheme="majorBidi" w:cstheme="majorBidi"/>
        </w:rPr>
        <w:t xml:space="preserve"> (Bb12) augmente significativement (P&lt;0.05) à la fin d’entreposage avec le yaourt en matière grasse réduite (RFY) et  le yaourt en matière grasse réduite en présence de fructooligosaccharides (RFY-FOS).</w:t>
      </w:r>
    </w:p>
    <w:p w:rsidR="006C66E7"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Les travaux de </w:t>
      </w:r>
      <w:r w:rsidRPr="0067253E">
        <w:rPr>
          <w:rFonts w:asciiTheme="majorBidi" w:hAnsiTheme="majorBidi" w:cstheme="majorBidi"/>
          <w:color w:val="0000FF"/>
        </w:rPr>
        <w:t>Donkor et al. (2006)</w:t>
      </w:r>
      <w:r w:rsidRPr="0067253E">
        <w:rPr>
          <w:rFonts w:asciiTheme="majorBidi" w:hAnsiTheme="majorBidi" w:cstheme="majorBidi"/>
        </w:rPr>
        <w:t xml:space="preserve"> ont montré qu’il y avait des différences minimales dans la viabilité de </w:t>
      </w:r>
      <w:r w:rsidRPr="0067253E">
        <w:rPr>
          <w:rFonts w:asciiTheme="majorBidi" w:hAnsiTheme="majorBidi" w:cstheme="majorBidi"/>
          <w:i/>
          <w:iCs/>
        </w:rPr>
        <w:t>Streptococcus</w:t>
      </w:r>
      <w:r w:rsidRPr="0067253E">
        <w:rPr>
          <w:rFonts w:asciiTheme="majorBidi" w:hAnsiTheme="majorBidi" w:cstheme="majorBidi"/>
        </w:rPr>
        <w:t xml:space="preserve"> </w:t>
      </w:r>
      <w:r w:rsidRPr="0067253E">
        <w:rPr>
          <w:rFonts w:asciiTheme="majorBidi" w:hAnsiTheme="majorBidi" w:cstheme="majorBidi"/>
          <w:i/>
          <w:iCs/>
        </w:rPr>
        <w:t>thermophilus</w:t>
      </w:r>
      <w:r w:rsidRPr="0067253E">
        <w:rPr>
          <w:rFonts w:asciiTheme="majorBidi" w:hAnsiTheme="majorBidi" w:cstheme="majorBidi"/>
        </w:rPr>
        <w:t xml:space="preserve"> SL1342 dans tous les échantillons et les biomasses augmentaient légèrement pendant l’entreposage au froid, mais pas significativement (P&gt;0.05). En revanche, </w:t>
      </w:r>
      <w:r w:rsidRPr="0067253E">
        <w:rPr>
          <w:rFonts w:asciiTheme="majorBidi" w:hAnsiTheme="majorBidi" w:cstheme="majorBidi"/>
          <w:i/>
          <w:iCs/>
        </w:rPr>
        <w:t>Lb</w:t>
      </w:r>
      <w:r w:rsidRPr="0067253E">
        <w:rPr>
          <w:rFonts w:asciiTheme="majorBidi" w:hAnsiTheme="majorBidi" w:cstheme="majorBidi"/>
        </w:rPr>
        <w:t xml:space="preserve">. </w:t>
      </w:r>
      <w:r w:rsidRPr="0067253E">
        <w:rPr>
          <w:rFonts w:asciiTheme="majorBidi" w:hAnsiTheme="majorBidi" w:cstheme="majorBidi"/>
          <w:i/>
          <w:iCs/>
        </w:rPr>
        <w:t>bulgaricus</w:t>
      </w:r>
      <w:r w:rsidRPr="0067253E">
        <w:rPr>
          <w:rFonts w:asciiTheme="majorBidi" w:hAnsiTheme="majorBidi" w:cstheme="majorBidi"/>
        </w:rPr>
        <w:t xml:space="preserve"> LB1466 diminue de 7 à 6 logUFC/ml pour tous les yaourts à l’exception de celui à pH = 4.5 dont la biomasse se maintenait à 7 logUFC/ml au cours de l’entreposage.</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Nos résultats montrent que la souche </w:t>
      </w:r>
      <w:r w:rsidRPr="0067253E">
        <w:rPr>
          <w:rFonts w:asciiTheme="majorBidi" w:hAnsiTheme="majorBidi" w:cstheme="majorBidi"/>
          <w:i/>
          <w:iCs/>
        </w:rPr>
        <w:t>Lb. acidophilus</w:t>
      </w:r>
      <w:r w:rsidRPr="0067253E">
        <w:rPr>
          <w:rFonts w:asciiTheme="majorBidi" w:hAnsiTheme="majorBidi" w:cstheme="majorBidi"/>
        </w:rPr>
        <w:t xml:space="preserve"> en culture mixte avec les deux bactéries lactiques a une viabilité comprise entre 82.83 à 94.2% au 14</w:t>
      </w:r>
      <w:r w:rsidRPr="0067253E">
        <w:rPr>
          <w:rFonts w:asciiTheme="majorBidi" w:hAnsiTheme="majorBidi" w:cstheme="majorBidi"/>
          <w:vertAlign w:val="superscript"/>
        </w:rPr>
        <w:t>ème</w:t>
      </w:r>
      <w:r w:rsidRPr="0067253E">
        <w:rPr>
          <w:rFonts w:asciiTheme="majorBidi" w:hAnsiTheme="majorBidi" w:cstheme="majorBidi"/>
        </w:rPr>
        <w:t xml:space="preserve"> jour d’entreposage réfrigéré et en présence des ingrédients protéiques. Pendant que </w:t>
      </w:r>
      <w:r w:rsidRPr="0067253E">
        <w:rPr>
          <w:rFonts w:asciiTheme="majorBidi" w:hAnsiTheme="majorBidi" w:cstheme="majorBidi"/>
          <w:color w:val="0000FF"/>
        </w:rPr>
        <w:t>Donkor et al. (2006)</w:t>
      </w:r>
      <w:r w:rsidRPr="0067253E">
        <w:rPr>
          <w:rFonts w:asciiTheme="majorBidi" w:hAnsiTheme="majorBidi" w:cstheme="majorBidi"/>
        </w:rPr>
        <w:t xml:space="preserve"> ont  observé une viabilité de </w:t>
      </w:r>
      <w:r w:rsidRPr="0067253E">
        <w:rPr>
          <w:rFonts w:asciiTheme="majorBidi" w:hAnsiTheme="majorBidi" w:cstheme="majorBidi"/>
          <w:i/>
          <w:iCs/>
        </w:rPr>
        <w:t>Lactobacillus</w:t>
      </w:r>
      <w:r w:rsidRPr="0067253E">
        <w:rPr>
          <w:rFonts w:asciiTheme="majorBidi" w:hAnsiTheme="majorBidi" w:cstheme="majorBidi"/>
        </w:rPr>
        <w:t xml:space="preserve"> </w:t>
      </w:r>
      <w:r w:rsidRPr="0067253E">
        <w:rPr>
          <w:rFonts w:asciiTheme="majorBidi" w:hAnsiTheme="majorBidi" w:cstheme="majorBidi"/>
          <w:i/>
          <w:iCs/>
        </w:rPr>
        <w:t>acidophilus</w:t>
      </w:r>
      <w:r w:rsidRPr="0067253E">
        <w:rPr>
          <w:rFonts w:asciiTheme="majorBidi" w:hAnsiTheme="majorBidi" w:cstheme="majorBidi"/>
        </w:rPr>
        <w:t xml:space="preserve"> L10 de 92.39% à pH 4.5 et 94.35% à pH = 4.45.</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Par ailleurs, les résultats rapportés par </w:t>
      </w:r>
      <w:r w:rsidRPr="0067253E">
        <w:rPr>
          <w:rFonts w:asciiTheme="majorBidi" w:hAnsiTheme="majorBidi" w:cstheme="majorBidi"/>
          <w:color w:val="0000FF"/>
        </w:rPr>
        <w:t>Raybka et Kailasapathy. (1995)</w:t>
      </w:r>
      <w:r w:rsidRPr="0067253E">
        <w:rPr>
          <w:rFonts w:asciiTheme="majorBidi" w:hAnsiTheme="majorBidi" w:cstheme="majorBidi"/>
        </w:rPr>
        <w:t xml:space="preserve">, ont démontré que </w:t>
      </w:r>
      <w:r w:rsidRPr="0067253E">
        <w:rPr>
          <w:rFonts w:asciiTheme="majorBidi" w:hAnsiTheme="majorBidi" w:cstheme="majorBidi"/>
          <w:i/>
          <w:iCs/>
        </w:rPr>
        <w:t>Lb. acidophilus</w:t>
      </w:r>
      <w:r w:rsidRPr="0067253E">
        <w:rPr>
          <w:rFonts w:asciiTheme="majorBidi" w:hAnsiTheme="majorBidi" w:cstheme="majorBidi"/>
        </w:rPr>
        <w:t xml:space="preserve"> peut survivre dans le yaourt avec une biomasse supérieure à 10</w:t>
      </w:r>
      <w:r w:rsidRPr="0067253E">
        <w:rPr>
          <w:rFonts w:asciiTheme="majorBidi" w:hAnsiTheme="majorBidi" w:cstheme="majorBidi"/>
          <w:vertAlign w:val="superscript"/>
        </w:rPr>
        <w:t>6</w:t>
      </w:r>
      <w:r w:rsidRPr="0067253E">
        <w:rPr>
          <w:rFonts w:asciiTheme="majorBidi" w:hAnsiTheme="majorBidi" w:cstheme="majorBidi"/>
        </w:rPr>
        <w:t xml:space="preserve"> CFU/ml jusqu’au 28</w:t>
      </w:r>
      <w:r w:rsidRPr="0067253E">
        <w:rPr>
          <w:rFonts w:asciiTheme="majorBidi" w:hAnsiTheme="majorBidi" w:cstheme="majorBidi"/>
          <w:vertAlign w:val="superscript"/>
        </w:rPr>
        <w:t>ème</w:t>
      </w:r>
      <w:r w:rsidRPr="0067253E">
        <w:rPr>
          <w:rFonts w:asciiTheme="majorBidi" w:hAnsiTheme="majorBidi" w:cstheme="majorBidi"/>
        </w:rPr>
        <w:t xml:space="preserve"> jour d’entreposage au froid.</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Pr="0067253E"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i/>
          <w:iCs/>
        </w:rPr>
        <w:t>Lb. acidophilus</w:t>
      </w:r>
      <w:r w:rsidRPr="0067253E">
        <w:rPr>
          <w:rFonts w:asciiTheme="majorBidi" w:hAnsiTheme="majorBidi" w:cstheme="majorBidi"/>
        </w:rPr>
        <w:t xml:space="preserve"> survivait mieux que les bactéries lactiques dans le yaourt même dans les conditions acides </w:t>
      </w:r>
      <w:r w:rsidRPr="0067253E">
        <w:rPr>
          <w:rFonts w:asciiTheme="majorBidi" w:hAnsiTheme="majorBidi" w:cstheme="majorBidi"/>
          <w:color w:val="0000FF"/>
        </w:rPr>
        <w:t>(Shah et Jelen., 1990 ; Lankaputhra et Shah., 1995)</w:t>
      </w:r>
      <w:r w:rsidRPr="0067253E">
        <w:rPr>
          <w:rFonts w:asciiTheme="majorBidi" w:hAnsiTheme="majorBidi" w:cstheme="majorBidi"/>
        </w:rPr>
        <w:t>.</w:t>
      </w: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La stabilité des bifidobactéries dans le yaourt a été signalée par </w:t>
      </w:r>
      <w:r w:rsidRPr="0067253E">
        <w:rPr>
          <w:rFonts w:asciiTheme="majorBidi" w:hAnsiTheme="majorBidi" w:cstheme="majorBidi"/>
          <w:color w:val="0000FF"/>
        </w:rPr>
        <w:t>Klaver et al. (1993)</w:t>
      </w:r>
      <w:r w:rsidRPr="0067253E">
        <w:rPr>
          <w:rFonts w:asciiTheme="majorBidi" w:hAnsiTheme="majorBidi" w:cstheme="majorBidi"/>
          <w:color w:val="4F81BD"/>
        </w:rPr>
        <w:t xml:space="preserve"> </w:t>
      </w:r>
      <w:r w:rsidRPr="0067253E">
        <w:rPr>
          <w:rFonts w:asciiTheme="majorBidi" w:hAnsiTheme="majorBidi" w:cstheme="majorBidi"/>
        </w:rPr>
        <w:t>ainsi par</w:t>
      </w:r>
      <w:r w:rsidRPr="0067253E">
        <w:rPr>
          <w:rFonts w:asciiTheme="majorBidi" w:hAnsiTheme="majorBidi" w:cstheme="majorBidi"/>
          <w:color w:val="4F81BD"/>
        </w:rPr>
        <w:t xml:space="preserve"> </w:t>
      </w:r>
      <w:r w:rsidRPr="0067253E">
        <w:rPr>
          <w:rFonts w:asciiTheme="majorBidi" w:hAnsiTheme="majorBidi" w:cstheme="majorBidi"/>
          <w:color w:val="0000FF"/>
        </w:rPr>
        <w:t>Modler et Villa-Gracia (1993)</w:t>
      </w:r>
      <w:r w:rsidRPr="0067253E">
        <w:rPr>
          <w:rFonts w:asciiTheme="majorBidi" w:hAnsiTheme="majorBidi" w:cstheme="majorBidi"/>
          <w:color w:val="4F81BD"/>
        </w:rPr>
        <w:t> </w:t>
      </w:r>
      <w:r w:rsidRPr="0067253E">
        <w:rPr>
          <w:rFonts w:asciiTheme="majorBidi" w:hAnsiTheme="majorBidi" w:cstheme="majorBidi"/>
        </w:rPr>
        <w:t xml:space="preserve">; alors que </w:t>
      </w:r>
      <w:r w:rsidRPr="0067253E">
        <w:rPr>
          <w:rFonts w:asciiTheme="majorBidi" w:hAnsiTheme="majorBidi" w:cstheme="majorBidi"/>
          <w:color w:val="0000FF"/>
        </w:rPr>
        <w:t>Dave et Shah (1997)</w:t>
      </w:r>
      <w:r w:rsidRPr="0067253E">
        <w:rPr>
          <w:rFonts w:asciiTheme="majorBidi" w:hAnsiTheme="majorBidi" w:cstheme="majorBidi"/>
        </w:rPr>
        <w:t xml:space="preserve"> ont aussi signalé </w:t>
      </w:r>
      <w:r w:rsidRPr="0067253E">
        <w:rPr>
          <w:rFonts w:asciiTheme="majorBidi" w:hAnsiTheme="majorBidi" w:cstheme="majorBidi"/>
        </w:rPr>
        <w:lastRenderedPageBreak/>
        <w:t xml:space="preserve">un abaissement rapide dans la quantité de biomasse des </w:t>
      </w:r>
      <w:r w:rsidRPr="0067253E">
        <w:rPr>
          <w:rFonts w:asciiTheme="majorBidi" w:hAnsiTheme="majorBidi" w:cstheme="majorBidi"/>
          <w:i/>
          <w:iCs/>
        </w:rPr>
        <w:t>Bifidobacterium ssp</w:t>
      </w:r>
      <w:r w:rsidRPr="0067253E">
        <w:rPr>
          <w:rFonts w:asciiTheme="majorBidi" w:hAnsiTheme="majorBidi" w:cstheme="majorBidi"/>
        </w:rPr>
        <w:t xml:space="preserve"> après la fabrication du yaourt avec les bactéries lactiques commerciales.</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Selon nos résultats, l’acidification du lait fermenté a été rapide dans la culture mixte (les deux starters cultures et souche bénéfique) qu’avec la culture entre Streptococcus et souche bénéfique.</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Le pH des laits fermentés par une culture mixte (</w:t>
      </w:r>
      <w:r w:rsidRPr="0067253E">
        <w:rPr>
          <w:rFonts w:asciiTheme="majorBidi" w:hAnsiTheme="majorBidi" w:cstheme="majorBidi"/>
          <w:i/>
          <w:iCs/>
        </w:rPr>
        <w:t>Streptococcus</w:t>
      </w:r>
      <w:r w:rsidRPr="0067253E">
        <w:rPr>
          <w:rFonts w:asciiTheme="majorBidi" w:hAnsiTheme="majorBidi" w:cstheme="majorBidi"/>
        </w:rPr>
        <w:t xml:space="preserve"> </w:t>
      </w:r>
      <w:r w:rsidRPr="0067253E">
        <w:rPr>
          <w:rFonts w:asciiTheme="majorBidi" w:hAnsiTheme="majorBidi" w:cstheme="majorBidi"/>
          <w:i/>
          <w:iCs/>
        </w:rPr>
        <w:t>thermophilus</w:t>
      </w:r>
      <w:r w:rsidRPr="0067253E">
        <w:rPr>
          <w:rFonts w:asciiTheme="majorBidi" w:hAnsiTheme="majorBidi" w:cstheme="majorBidi"/>
        </w:rPr>
        <w:t xml:space="preserve"> + </w:t>
      </w:r>
      <w:r w:rsidRPr="0067253E">
        <w:rPr>
          <w:rFonts w:asciiTheme="majorBidi" w:hAnsiTheme="majorBidi" w:cstheme="majorBidi"/>
          <w:i/>
          <w:iCs/>
        </w:rPr>
        <w:t>Lactobacillus bulgaricus</w:t>
      </w:r>
      <w:r w:rsidRPr="0067253E">
        <w:rPr>
          <w:rFonts w:asciiTheme="majorBidi" w:hAnsiTheme="majorBidi" w:cstheme="majorBidi"/>
        </w:rPr>
        <w:t xml:space="preserve"> + une souche bénéfique) en absence d’ingrédients protéiques laitiers lors de l’entreposage est compris entre 4.88 et 4.91 (7</w:t>
      </w:r>
      <w:r w:rsidRPr="0067253E">
        <w:rPr>
          <w:rFonts w:asciiTheme="majorBidi" w:hAnsiTheme="majorBidi" w:cstheme="majorBidi"/>
          <w:vertAlign w:val="superscript"/>
        </w:rPr>
        <w:t>ème</w:t>
      </w:r>
      <w:r w:rsidRPr="0067253E">
        <w:rPr>
          <w:rFonts w:asciiTheme="majorBidi" w:hAnsiTheme="majorBidi" w:cstheme="majorBidi"/>
        </w:rPr>
        <w:t xml:space="preserve"> j), 4.83 et 4.85 (14</w:t>
      </w:r>
      <w:r w:rsidRPr="0067253E">
        <w:rPr>
          <w:rFonts w:asciiTheme="majorBidi" w:hAnsiTheme="majorBidi" w:cstheme="majorBidi"/>
          <w:vertAlign w:val="superscript"/>
        </w:rPr>
        <w:t>ème</w:t>
      </w:r>
      <w:r w:rsidRPr="0067253E">
        <w:rPr>
          <w:rFonts w:asciiTheme="majorBidi" w:hAnsiTheme="majorBidi" w:cstheme="majorBidi"/>
        </w:rPr>
        <w:t xml:space="preserve"> j), 4.74 et 4.79 (21</w:t>
      </w:r>
      <w:r w:rsidRPr="0067253E">
        <w:rPr>
          <w:rFonts w:asciiTheme="majorBidi" w:hAnsiTheme="majorBidi" w:cstheme="majorBidi"/>
          <w:vertAlign w:val="superscript"/>
        </w:rPr>
        <w:t>ème</w:t>
      </w:r>
      <w:r w:rsidRPr="0067253E">
        <w:rPr>
          <w:rFonts w:asciiTheme="majorBidi" w:hAnsiTheme="majorBidi" w:cstheme="majorBidi"/>
        </w:rPr>
        <w:t xml:space="preserve"> j) et 4.64 et 4.72 (28</w:t>
      </w:r>
      <w:r w:rsidRPr="0067253E">
        <w:rPr>
          <w:rFonts w:asciiTheme="majorBidi" w:hAnsiTheme="majorBidi" w:cstheme="majorBidi"/>
          <w:vertAlign w:val="superscript"/>
        </w:rPr>
        <w:t>ème</w:t>
      </w:r>
      <w:r w:rsidRPr="0067253E">
        <w:rPr>
          <w:rFonts w:asciiTheme="majorBidi" w:hAnsiTheme="majorBidi" w:cstheme="majorBidi"/>
        </w:rPr>
        <w:t xml:space="preserve"> j)</w:t>
      </w:r>
      <w:r>
        <w:rPr>
          <w:rFonts w:asciiTheme="majorBidi" w:hAnsiTheme="majorBidi" w:cstheme="majorBidi"/>
        </w:rPr>
        <w:t xml:space="preserve"> </w:t>
      </w:r>
      <w:r>
        <w:rPr>
          <w:rFonts w:asciiTheme="majorBidi" w:hAnsiTheme="majorBidi" w:cstheme="majorBidi"/>
          <w:color w:val="3333FF"/>
        </w:rPr>
        <w:t>(figure 15)</w:t>
      </w:r>
      <w:r w:rsidRPr="0067253E">
        <w:rPr>
          <w:rFonts w:asciiTheme="majorBidi" w:hAnsiTheme="majorBidi" w:cstheme="majorBidi"/>
        </w:rPr>
        <w:t>.</w:t>
      </w:r>
    </w:p>
    <w:p w:rsidR="006C66E7" w:rsidRDefault="006C66E7" w:rsidP="006C66E7">
      <w:pPr>
        <w:spacing w:before="0" w:after="0" w:line="360" w:lineRule="auto"/>
        <w:ind w:firstLine="360"/>
        <w:contextualSpacing/>
        <w:jc w:val="both"/>
        <w:rPr>
          <w:rFonts w:asciiTheme="majorBidi" w:hAnsiTheme="majorBidi" w:cstheme="majorBidi"/>
        </w:rPr>
      </w:pPr>
    </w:p>
    <w:p w:rsidR="00F13BB2" w:rsidRPr="0067253E" w:rsidRDefault="00F13BB2" w:rsidP="00F13BB2">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En présence de Promilk 852A2, de Promilk C502 et d’hydrolysat de caséine ;  le pH a diminué légèrement pendant l’entreposage pour atteindre 4.49 à la fin d’entreposage.</w:t>
      </w:r>
    </w:p>
    <w:p w:rsidR="00F13BB2" w:rsidRPr="0067253E" w:rsidRDefault="00F13BB2" w:rsidP="00F13BB2">
      <w:pPr>
        <w:spacing w:before="0" w:after="0" w:line="360" w:lineRule="auto"/>
        <w:ind w:firstLine="360"/>
        <w:contextualSpacing/>
        <w:jc w:val="both"/>
        <w:rPr>
          <w:rFonts w:asciiTheme="majorBidi" w:hAnsiTheme="majorBidi" w:cstheme="majorBidi"/>
        </w:rPr>
      </w:pPr>
    </w:p>
    <w:p w:rsidR="00F13BB2" w:rsidRDefault="00F13BB2" w:rsidP="00F13BB2">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Ce pH diminue de l’ordre de 0.15 à 0.19, 0.2 à 0.23, 0.15 à 0.2, 0.18 à 0.2 unités pH et 0.1 à 0.14 unités au 28</w:t>
      </w:r>
      <w:r w:rsidRPr="0067253E">
        <w:rPr>
          <w:rFonts w:asciiTheme="majorBidi" w:hAnsiTheme="majorBidi" w:cstheme="majorBidi"/>
          <w:vertAlign w:val="superscript"/>
        </w:rPr>
        <w:t>ème</w:t>
      </w:r>
      <w:r w:rsidRPr="0067253E">
        <w:rPr>
          <w:rFonts w:asciiTheme="majorBidi" w:hAnsiTheme="majorBidi" w:cstheme="majorBidi"/>
        </w:rPr>
        <w:t xml:space="preserve"> jour d’entreposage, ces valeurs notées sont respectivement pour les cultures mixtes additionnées de la souche BLR, LbRE-LSAS, Bb12, Lba CECT 4529 et Lbp CECT 748.</w:t>
      </w:r>
    </w:p>
    <w:p w:rsidR="00F13BB2" w:rsidRDefault="00F13BB2" w:rsidP="00F13BB2">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En présence de lactosérum doux, les cultures mixtes sont plus acidifiantes. L’acidité est un facteur important dans la qualité du lait fermenté.</w:t>
      </w:r>
    </w:p>
    <w:p w:rsidR="00F13BB2" w:rsidRPr="0067253E" w:rsidRDefault="00F13BB2" w:rsidP="00F13BB2">
      <w:pPr>
        <w:spacing w:before="0" w:after="0" w:line="360" w:lineRule="auto"/>
        <w:ind w:firstLine="360"/>
        <w:contextualSpacing/>
        <w:jc w:val="both"/>
        <w:rPr>
          <w:rFonts w:asciiTheme="majorBidi" w:hAnsiTheme="majorBidi" w:cstheme="majorBidi"/>
        </w:rPr>
      </w:pPr>
    </w:p>
    <w:p w:rsidR="00F13BB2" w:rsidRDefault="00F13BB2" w:rsidP="00F13BB2">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Les résultats indiquent que la croissance des cultures bénéfiques n’a pas été inhibée par les valeurs basses du pH pendant l’entreposage réfrigéré.</w:t>
      </w:r>
    </w:p>
    <w:p w:rsidR="00F13BB2" w:rsidRPr="0067253E" w:rsidRDefault="00F13BB2" w:rsidP="00F13BB2">
      <w:pPr>
        <w:spacing w:before="0" w:after="0" w:line="360" w:lineRule="auto"/>
        <w:ind w:firstLine="360"/>
        <w:contextualSpacing/>
        <w:jc w:val="both"/>
        <w:rPr>
          <w:rFonts w:asciiTheme="majorBidi" w:hAnsiTheme="majorBidi" w:cstheme="majorBidi"/>
        </w:rPr>
      </w:pPr>
    </w:p>
    <w:p w:rsidR="00F13BB2" w:rsidRDefault="00F13BB2" w:rsidP="00F13BB2">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La post-acidification est un phénomène se produisant souvent dans les yaourts, caractérisé par la production excessive d’eau oxygénée et d’acide lactique par </w:t>
      </w:r>
      <w:r w:rsidRPr="0067253E">
        <w:rPr>
          <w:rFonts w:asciiTheme="majorBidi" w:hAnsiTheme="majorBidi" w:cstheme="majorBidi"/>
          <w:i/>
          <w:iCs/>
        </w:rPr>
        <w:t>Lb. bulgaricus</w:t>
      </w:r>
      <w:r w:rsidRPr="0067253E">
        <w:rPr>
          <w:rFonts w:asciiTheme="majorBidi" w:hAnsiTheme="majorBidi" w:cstheme="majorBidi"/>
        </w:rPr>
        <w:t xml:space="preserve"> </w:t>
      </w:r>
      <w:r w:rsidRPr="0067253E">
        <w:rPr>
          <w:rFonts w:asciiTheme="majorBidi" w:hAnsiTheme="majorBidi" w:cstheme="majorBidi"/>
          <w:color w:val="0000FF"/>
        </w:rPr>
        <w:t>(Lourens-Hattingh et Viljoen., 2001)</w:t>
      </w:r>
      <w:r w:rsidRPr="0067253E">
        <w:rPr>
          <w:rFonts w:asciiTheme="majorBidi" w:hAnsiTheme="majorBidi" w:cstheme="majorBidi"/>
        </w:rPr>
        <w:t>.</w:t>
      </w:r>
    </w:p>
    <w:p w:rsidR="00F13BB2" w:rsidRDefault="00F13BB2" w:rsidP="00F13BB2">
      <w:pPr>
        <w:spacing w:before="0" w:after="0" w:line="360" w:lineRule="auto"/>
        <w:ind w:firstLine="360"/>
        <w:contextualSpacing/>
        <w:jc w:val="both"/>
        <w:rPr>
          <w:rFonts w:asciiTheme="majorBidi" w:hAnsiTheme="majorBidi" w:cstheme="majorBidi"/>
          <w:color w:val="0000FF"/>
        </w:rPr>
      </w:pPr>
    </w:p>
    <w:p w:rsidR="00F13BB2" w:rsidRPr="0067253E" w:rsidRDefault="00F13BB2" w:rsidP="00F13BB2">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color w:val="0000FF"/>
        </w:rPr>
        <w:t>Antunes et al. (2005)</w:t>
      </w:r>
      <w:r w:rsidRPr="0067253E">
        <w:rPr>
          <w:rFonts w:asciiTheme="majorBidi" w:hAnsiTheme="majorBidi" w:cstheme="majorBidi"/>
        </w:rPr>
        <w:t xml:space="preserve"> avaient aussi rapporté une faible post-acidification dans le lait fermenté en culture mixte avec les souches probiotiques additionné de concentré de protéines.</w:t>
      </w:r>
    </w:p>
    <w:p w:rsidR="006C66E7" w:rsidRDefault="006C66E7" w:rsidP="006C66E7">
      <w:pPr>
        <w:spacing w:before="0" w:after="0" w:line="276" w:lineRule="auto"/>
        <w:ind w:firstLine="0"/>
        <w:rPr>
          <w:rFonts w:asciiTheme="majorBidi" w:hAnsiTheme="majorBidi" w:cstheme="majorBidi"/>
        </w:rPr>
      </w:pPr>
      <w:r>
        <w:rPr>
          <w:rFonts w:asciiTheme="majorBidi" w:hAnsiTheme="majorBidi" w:cstheme="majorBidi"/>
        </w:rPr>
        <w:br w:type="page"/>
      </w:r>
    </w:p>
    <w:p w:rsidR="006C66E7" w:rsidRDefault="006F133D" w:rsidP="006C66E7">
      <w:pPr>
        <w:spacing w:before="0" w:after="0" w:line="276" w:lineRule="auto"/>
        <w:ind w:firstLine="0"/>
        <w:rPr>
          <w:rFonts w:asciiTheme="majorBidi" w:hAnsiTheme="majorBidi" w:cstheme="majorBidi"/>
        </w:rPr>
      </w:pPr>
      <w:r>
        <w:rPr>
          <w:rFonts w:asciiTheme="majorBidi" w:hAnsiTheme="majorBidi" w:cstheme="majorBidi"/>
          <w:noProof/>
          <w:lang w:eastAsia="fr-FR"/>
        </w:rPr>
        <w:lastRenderedPageBreak/>
        <w:pict>
          <v:shape id="_x0000_s2151" type="#_x0000_t202" style="position:absolute;margin-left:8.1pt;margin-top:547.6pt;width:420pt;height:122.25pt;z-index:251763712" strokecolor="white [3212]">
            <v:textbox>
              <w:txbxContent>
                <w:p w:rsidR="00310CA5" w:rsidRPr="00150FC3" w:rsidRDefault="00310CA5" w:rsidP="006C66E7">
                  <w:pPr>
                    <w:ind w:left="851" w:hanging="993"/>
                    <w:jc w:val="both"/>
                    <w:rPr>
                      <w:sz w:val="20"/>
                      <w:szCs w:val="20"/>
                    </w:rPr>
                  </w:pPr>
                  <w:r w:rsidRPr="00A1575D">
                    <w:rPr>
                      <w:rFonts w:ascii="Times New Roman" w:hAnsi="Times New Roman" w:cs="Times New Roman"/>
                      <w:b/>
                      <w:bCs/>
                      <w:sz w:val="20"/>
                      <w:szCs w:val="20"/>
                      <w:u w:val="single"/>
                    </w:rPr>
                    <w:t>Figure 1</w:t>
                  </w:r>
                  <w:r>
                    <w:rPr>
                      <w:rFonts w:ascii="Times New Roman" w:hAnsi="Times New Roman" w:cs="Times New Roman"/>
                      <w:b/>
                      <w:bCs/>
                      <w:sz w:val="20"/>
                      <w:szCs w:val="20"/>
                      <w:u w:val="single"/>
                    </w:rPr>
                    <w:t>5</w:t>
                  </w:r>
                  <w:r>
                    <w:rPr>
                      <w:rFonts w:ascii="Times New Roman" w:hAnsi="Times New Roman" w:cs="Times New Roman"/>
                      <w:sz w:val="20"/>
                      <w:szCs w:val="20"/>
                    </w:rPr>
                    <w:t xml:space="preserve"> : </w:t>
                  </w:r>
                  <w:r w:rsidRPr="00150FC3">
                    <w:rPr>
                      <w:rFonts w:ascii="Times New Roman" w:hAnsi="Times New Roman" w:cs="Times New Roman"/>
                      <w:sz w:val="20"/>
                      <w:szCs w:val="20"/>
                    </w:rPr>
                    <w:t xml:space="preserve">Evolution </w:t>
                  </w:r>
                  <w:r w:rsidRPr="00A1575D">
                    <w:rPr>
                      <w:rFonts w:ascii="Times New Roman" w:hAnsi="Times New Roman" w:cs="Times New Roman"/>
                      <w:b/>
                      <w:bCs/>
                      <w:sz w:val="20"/>
                      <w:szCs w:val="20"/>
                    </w:rPr>
                    <w:t>post-fermentaire de l’acidité au cours de l’entreposage à +4°C</w:t>
                  </w:r>
                  <w:r>
                    <w:rPr>
                      <w:rFonts w:ascii="Times New Roman" w:hAnsi="Times New Roman" w:cs="Times New Roman"/>
                      <w:sz w:val="20"/>
                      <w:szCs w:val="20"/>
                    </w:rPr>
                    <w:t xml:space="preserve"> </w:t>
                  </w:r>
                  <w:r w:rsidRPr="00150FC3">
                    <w:rPr>
                      <w:rFonts w:ascii="Times New Roman" w:hAnsi="Times New Roman" w:cs="Times New Roman"/>
                      <w:sz w:val="20"/>
                      <w:szCs w:val="20"/>
                    </w:rPr>
                    <w:t xml:space="preserve">du lait fermenté à 37°C par la culture mixte entre une souche </w:t>
                  </w:r>
                  <w:r>
                    <w:rPr>
                      <w:rFonts w:ascii="Times New Roman" w:hAnsi="Times New Roman" w:cs="Times New Roman"/>
                      <w:sz w:val="20"/>
                      <w:szCs w:val="20"/>
                    </w:rPr>
                    <w:t>bénéf</w:t>
                  </w:r>
                  <w:r w:rsidRPr="00150FC3">
                    <w:rPr>
                      <w:rFonts w:ascii="Times New Roman" w:hAnsi="Times New Roman" w:cs="Times New Roman"/>
                      <w:sz w:val="20"/>
                      <w:szCs w:val="20"/>
                    </w:rPr>
                    <w:t>ique BLR </w:t>
                  </w:r>
                  <w:r w:rsidRPr="00150FC3">
                    <w:rPr>
                      <w:rFonts w:ascii="Times New Roman" w:hAnsi="Times New Roman" w:cs="Times New Roman"/>
                      <w:b/>
                      <w:bCs/>
                      <w:sz w:val="20"/>
                      <w:szCs w:val="20"/>
                    </w:rPr>
                    <w:t>(A)</w:t>
                  </w:r>
                  <w:r w:rsidRPr="00150FC3">
                    <w:rPr>
                      <w:rFonts w:ascii="Times New Roman" w:hAnsi="Times New Roman" w:cs="Times New Roman"/>
                      <w:sz w:val="20"/>
                      <w:szCs w:val="20"/>
                    </w:rPr>
                    <w:t>; LbRE</w:t>
                  </w:r>
                  <w:r>
                    <w:rPr>
                      <w:rFonts w:ascii="Times New Roman" w:hAnsi="Times New Roman" w:cs="Times New Roman"/>
                      <w:sz w:val="20"/>
                      <w:szCs w:val="20"/>
                    </w:rPr>
                    <w:t>-</w:t>
                  </w:r>
                  <w:r w:rsidRPr="00150FC3">
                    <w:rPr>
                      <w:rFonts w:ascii="Times New Roman" w:hAnsi="Times New Roman" w:cs="Times New Roman"/>
                      <w:sz w:val="20"/>
                      <w:szCs w:val="20"/>
                    </w:rPr>
                    <w:t>LSAS </w:t>
                  </w:r>
                  <w:r w:rsidRPr="00150FC3">
                    <w:rPr>
                      <w:rFonts w:ascii="Times New Roman" w:hAnsi="Times New Roman" w:cs="Times New Roman"/>
                      <w:b/>
                      <w:bCs/>
                      <w:sz w:val="20"/>
                      <w:szCs w:val="20"/>
                    </w:rPr>
                    <w:t>(B)</w:t>
                  </w:r>
                  <w:r w:rsidRPr="00150FC3">
                    <w:rPr>
                      <w:rFonts w:ascii="Times New Roman" w:hAnsi="Times New Roman" w:cs="Times New Roman"/>
                      <w:sz w:val="20"/>
                      <w:szCs w:val="20"/>
                    </w:rPr>
                    <w:t>; Bb12 </w:t>
                  </w:r>
                  <w:r w:rsidRPr="00150FC3">
                    <w:rPr>
                      <w:rFonts w:ascii="Times New Roman" w:hAnsi="Times New Roman" w:cs="Times New Roman"/>
                      <w:b/>
                      <w:bCs/>
                      <w:sz w:val="20"/>
                      <w:szCs w:val="20"/>
                    </w:rPr>
                    <w:t>(C)</w:t>
                  </w:r>
                  <w:r w:rsidRPr="00150FC3">
                    <w:rPr>
                      <w:rFonts w:ascii="Times New Roman" w:hAnsi="Times New Roman" w:cs="Times New Roman"/>
                      <w:sz w:val="20"/>
                      <w:szCs w:val="20"/>
                    </w:rPr>
                    <w:t xml:space="preserve">; </w:t>
                  </w:r>
                  <w:r>
                    <w:rPr>
                      <w:rFonts w:ascii="Times New Roman" w:hAnsi="Times New Roman" w:cs="Times New Roman"/>
                      <w:sz w:val="20"/>
                      <w:szCs w:val="20"/>
                    </w:rPr>
                    <w:t xml:space="preserve">Lba </w:t>
                  </w:r>
                  <w:r w:rsidRPr="00150FC3">
                    <w:rPr>
                      <w:rFonts w:ascii="Times New Roman" w:hAnsi="Times New Roman" w:cs="Times New Roman"/>
                      <w:sz w:val="20"/>
                      <w:szCs w:val="20"/>
                    </w:rPr>
                    <w:t xml:space="preserve">CECT4529 </w:t>
                  </w:r>
                  <w:r w:rsidRPr="00150FC3">
                    <w:rPr>
                      <w:rFonts w:ascii="Times New Roman" w:hAnsi="Times New Roman" w:cs="Times New Roman"/>
                      <w:b/>
                      <w:bCs/>
                      <w:sz w:val="20"/>
                      <w:szCs w:val="20"/>
                    </w:rPr>
                    <w:t>(D)</w:t>
                  </w:r>
                  <w:r w:rsidRPr="00150FC3">
                    <w:rPr>
                      <w:rFonts w:ascii="Times New Roman" w:hAnsi="Times New Roman" w:cs="Times New Roman"/>
                      <w:sz w:val="20"/>
                      <w:szCs w:val="20"/>
                    </w:rPr>
                    <w:t xml:space="preserve"> et </w:t>
                  </w:r>
                  <w:r>
                    <w:rPr>
                      <w:rFonts w:ascii="Times New Roman" w:hAnsi="Times New Roman" w:cs="Times New Roman"/>
                      <w:sz w:val="20"/>
                      <w:szCs w:val="20"/>
                    </w:rPr>
                    <w:t xml:space="preserve">Lbp </w:t>
                  </w:r>
                  <w:r w:rsidRPr="00150FC3">
                    <w:rPr>
                      <w:rFonts w:ascii="Times New Roman" w:hAnsi="Times New Roman" w:cs="Times New Roman"/>
                      <w:sz w:val="20"/>
                      <w:szCs w:val="20"/>
                    </w:rPr>
                    <w:t xml:space="preserve">CECT748 </w:t>
                  </w:r>
                  <w:r w:rsidRPr="00150FC3">
                    <w:rPr>
                      <w:rFonts w:ascii="Times New Roman" w:hAnsi="Times New Roman" w:cs="Times New Roman"/>
                      <w:b/>
                      <w:bCs/>
                      <w:sz w:val="20"/>
                      <w:szCs w:val="20"/>
                    </w:rPr>
                    <w:t>(E)</w:t>
                  </w:r>
                  <w:r w:rsidRPr="00150FC3">
                    <w:rPr>
                      <w:rFonts w:ascii="Times New Roman" w:hAnsi="Times New Roman" w:cs="Times New Roman"/>
                      <w:sz w:val="20"/>
                      <w:szCs w:val="20"/>
                    </w:rPr>
                    <w:t xml:space="preserve"> avec </w:t>
                  </w:r>
                  <w:r w:rsidRPr="00150FC3">
                    <w:rPr>
                      <w:rFonts w:ascii="Times New Roman" w:hAnsi="Times New Roman" w:cs="Times New Roman"/>
                      <w:i/>
                      <w:iCs/>
                      <w:sz w:val="20"/>
                      <w:szCs w:val="20"/>
                    </w:rPr>
                    <w:t>Streptococcus thermophilus</w:t>
                  </w:r>
                  <w:r w:rsidRPr="00150FC3">
                    <w:rPr>
                      <w:rFonts w:ascii="Times New Roman" w:hAnsi="Times New Roman" w:cs="Times New Roman"/>
                      <w:sz w:val="20"/>
                      <w:szCs w:val="20"/>
                    </w:rPr>
                    <w:t xml:space="preserve"> et </w:t>
                  </w:r>
                  <w:r w:rsidRPr="00150FC3">
                    <w:rPr>
                      <w:rFonts w:ascii="Times New Roman" w:hAnsi="Times New Roman" w:cs="Times New Roman"/>
                      <w:i/>
                      <w:iCs/>
                      <w:sz w:val="20"/>
                      <w:szCs w:val="20"/>
                    </w:rPr>
                    <w:t>Lactobacillus bulgaricus</w:t>
                  </w:r>
                  <w:r w:rsidRPr="00150FC3">
                    <w:rPr>
                      <w:rFonts w:ascii="Times New Roman" w:hAnsi="Times New Roman" w:cs="Times New Roman"/>
                      <w:sz w:val="20"/>
                      <w:szCs w:val="20"/>
                    </w:rPr>
                    <w:t xml:space="preserve"> YF-L812. </w:t>
                  </w:r>
                  <w:r w:rsidRPr="003468B2">
                    <w:rPr>
                      <w:rFonts w:ascii="Times New Roman" w:hAnsi="Times New Roman" w:cs="Times New Roman"/>
                      <w:sz w:val="20"/>
                      <w:szCs w:val="20"/>
                    </w:rPr>
                    <w:t>Cultures mixtes témoin (</w:t>
                  </w:r>
                  <w:r w:rsidRPr="00C44983">
                    <w:rPr>
                      <w:rFonts w:ascii="Times New Roman" w:hAnsi="Times New Roman" w:cs="Times New Roman"/>
                      <w:noProof/>
                      <w:color w:val="0070C0"/>
                      <w:sz w:val="20"/>
                      <w:szCs w:val="20"/>
                      <w:lang w:eastAsia="fr-FR"/>
                    </w:rPr>
                    <w:t>■</w:t>
                  </w:r>
                  <w:r w:rsidRPr="003468B2">
                    <w:rPr>
                      <w:rFonts w:ascii="Times New Roman" w:hAnsi="Times New Roman" w:cs="Times New Roman"/>
                      <w:sz w:val="20"/>
                      <w:szCs w:val="20"/>
                    </w:rPr>
                    <w:t xml:space="preserve">), cultures mixtes additionnées de 0,53% </w:t>
                  </w:r>
                  <w:r>
                    <w:rPr>
                      <w:rFonts w:ascii="Times New Roman" w:hAnsi="Times New Roman" w:cs="Times New Roman"/>
                      <w:sz w:val="20"/>
                      <w:szCs w:val="20"/>
                    </w:rPr>
                    <w:t xml:space="preserve">(P/V) : </w:t>
                  </w:r>
                  <w:r w:rsidRPr="003468B2">
                    <w:rPr>
                      <w:rFonts w:ascii="Times New Roman" w:hAnsi="Times New Roman" w:cs="Times New Roman"/>
                      <w:sz w:val="20"/>
                      <w:szCs w:val="20"/>
                    </w:rPr>
                    <w:t>de lactosérum doux (</w:t>
                  </w:r>
                  <w:r w:rsidRPr="007A6C8B">
                    <w:rPr>
                      <w:rFonts w:ascii="Times New Roman" w:hAnsi="Times New Roman" w:cs="Times New Roman"/>
                      <w:color w:val="FF9900"/>
                      <w:sz w:val="20"/>
                      <w:szCs w:val="20"/>
                    </w:rPr>
                    <w:t>■</w:t>
                  </w:r>
                  <w:r w:rsidRPr="003468B2">
                    <w:rPr>
                      <w:rFonts w:ascii="Times New Roman" w:hAnsi="Times New Roman" w:cs="Times New Roman"/>
                      <w:sz w:val="20"/>
                      <w:szCs w:val="20"/>
                    </w:rPr>
                    <w:t>), de Promilk 852A2 (</w:t>
                  </w:r>
                  <w:r w:rsidRPr="00C44983">
                    <w:rPr>
                      <w:rFonts w:ascii="Times New Roman" w:hAnsi="Times New Roman" w:cs="Times New Roman"/>
                      <w:color w:val="92D050"/>
                      <w:sz w:val="20"/>
                      <w:szCs w:val="20"/>
                    </w:rPr>
                    <w:t>■</w:t>
                  </w:r>
                  <w:r w:rsidRPr="003468B2">
                    <w:rPr>
                      <w:rFonts w:ascii="Times New Roman" w:hAnsi="Times New Roman" w:cs="Times New Roman"/>
                      <w:sz w:val="20"/>
                      <w:szCs w:val="20"/>
                    </w:rPr>
                    <w:t>),</w:t>
                  </w:r>
                  <w:r>
                    <w:rPr>
                      <w:rFonts w:ascii="Times New Roman" w:hAnsi="Times New Roman" w:cs="Times New Roman"/>
                      <w:sz w:val="20"/>
                      <w:szCs w:val="20"/>
                    </w:rPr>
                    <w:t xml:space="preserve"> </w:t>
                  </w:r>
                  <w:r w:rsidRPr="003468B2">
                    <w:rPr>
                      <w:rFonts w:ascii="Times New Roman" w:hAnsi="Times New Roman" w:cs="Times New Roman"/>
                      <w:sz w:val="20"/>
                      <w:szCs w:val="20"/>
                    </w:rPr>
                    <w:t>de Promilk C502 (</w:t>
                  </w:r>
                  <w:r w:rsidRPr="00C44983">
                    <w:rPr>
                      <w:rFonts w:ascii="Times New Roman" w:hAnsi="Times New Roman" w:cs="Times New Roman"/>
                      <w:color w:val="FF33CC"/>
                      <w:sz w:val="20"/>
                      <w:szCs w:val="20"/>
                    </w:rPr>
                    <w:t>■</w:t>
                  </w:r>
                  <w:r w:rsidRPr="003468B2">
                    <w:rPr>
                      <w:rFonts w:ascii="Times New Roman" w:hAnsi="Times New Roman" w:cs="Times New Roman"/>
                      <w:sz w:val="20"/>
                      <w:szCs w:val="20"/>
                    </w:rPr>
                    <w:t>)</w:t>
                  </w:r>
                  <w:r>
                    <w:rPr>
                      <w:rFonts w:ascii="Times New Roman" w:hAnsi="Times New Roman" w:cs="Times New Roman"/>
                      <w:sz w:val="20"/>
                      <w:szCs w:val="20"/>
                    </w:rPr>
                    <w:t xml:space="preserve"> ou </w:t>
                  </w:r>
                  <w:r w:rsidRPr="003468B2">
                    <w:rPr>
                      <w:rFonts w:ascii="Times New Roman" w:hAnsi="Times New Roman" w:cs="Times New Roman"/>
                      <w:sz w:val="20"/>
                      <w:szCs w:val="20"/>
                    </w:rPr>
                    <w:t>d’hydrolysat de caséine (</w:t>
                  </w:r>
                  <w:r w:rsidRPr="00C44983">
                    <w:rPr>
                      <w:rFonts w:ascii="Times New Roman" w:hAnsi="Times New Roman" w:cs="Times New Roman"/>
                      <w:color w:val="990099"/>
                      <w:sz w:val="20"/>
                      <w:szCs w:val="20"/>
                    </w:rPr>
                    <w:t>■</w:t>
                  </w:r>
                  <w:r>
                    <w:rPr>
                      <w:rFonts w:ascii="Times New Roman" w:hAnsi="Times New Roman" w:cs="Times New Roman"/>
                      <w:sz w:val="20"/>
                      <w:szCs w:val="20"/>
                    </w:rPr>
                    <w:t>)</w:t>
                  </w:r>
                  <w:r w:rsidRPr="00150FC3">
                    <w:rPr>
                      <w:rFonts w:ascii="Times New Roman" w:hAnsi="Times New Roman" w:cs="Times New Roman"/>
                      <w:sz w:val="20"/>
                      <w:szCs w:val="20"/>
                    </w:rPr>
                    <w:t>. Dans toutes les cultures mixtes, l’inoculum est à une concentration finale de 10</w:t>
                  </w:r>
                  <w:r w:rsidRPr="00150FC3">
                    <w:rPr>
                      <w:rFonts w:ascii="Times New Roman" w:hAnsi="Times New Roman" w:cs="Times New Roman"/>
                      <w:sz w:val="20"/>
                      <w:szCs w:val="20"/>
                      <w:vertAlign w:val="superscript"/>
                    </w:rPr>
                    <w:t>6</w:t>
                  </w:r>
                  <w:r w:rsidRPr="00150FC3">
                    <w:rPr>
                      <w:rFonts w:ascii="Times New Roman" w:hAnsi="Times New Roman" w:cs="Times New Roman"/>
                      <w:sz w:val="20"/>
                      <w:szCs w:val="20"/>
                    </w:rPr>
                    <w:t xml:space="preserve"> </w:t>
                  </w:r>
                  <w:r>
                    <w:rPr>
                      <w:rFonts w:ascii="Times New Roman" w:hAnsi="Times New Roman" w:cs="Times New Roman"/>
                      <w:sz w:val="20"/>
                      <w:szCs w:val="20"/>
                    </w:rPr>
                    <w:t>(pour les bactéries lactiques) et</w:t>
                  </w:r>
                  <w:r w:rsidRPr="00150FC3">
                    <w:rPr>
                      <w:rFonts w:ascii="Times New Roman" w:hAnsi="Times New Roman" w:cs="Times New Roman"/>
                      <w:sz w:val="20"/>
                      <w:szCs w:val="20"/>
                    </w:rPr>
                    <w:t>10</w:t>
                  </w:r>
                  <w:r w:rsidRPr="00150FC3">
                    <w:rPr>
                      <w:rFonts w:ascii="Times New Roman" w:hAnsi="Times New Roman" w:cs="Times New Roman"/>
                      <w:sz w:val="20"/>
                      <w:szCs w:val="20"/>
                      <w:vertAlign w:val="superscript"/>
                    </w:rPr>
                    <w:t>7</w:t>
                  </w:r>
                  <w:r w:rsidRPr="00150FC3">
                    <w:rPr>
                      <w:rFonts w:ascii="Times New Roman" w:hAnsi="Times New Roman" w:cs="Times New Roman"/>
                      <w:sz w:val="20"/>
                      <w:szCs w:val="20"/>
                    </w:rPr>
                    <w:t xml:space="preserve"> </w:t>
                  </w:r>
                  <w:r>
                    <w:rPr>
                      <w:rFonts w:ascii="Times New Roman" w:hAnsi="Times New Roman" w:cs="Times New Roman"/>
                      <w:sz w:val="20"/>
                      <w:szCs w:val="20"/>
                    </w:rPr>
                    <w:t xml:space="preserve">(pour les souches probiotiques) </w:t>
                  </w:r>
                  <w:r w:rsidRPr="00150FC3">
                    <w:rPr>
                      <w:rFonts w:ascii="Times New Roman" w:hAnsi="Times New Roman" w:cs="Times New Roman"/>
                      <w:sz w:val="20"/>
                      <w:szCs w:val="20"/>
                    </w:rPr>
                    <w:t>UFC/ml et utilisé à 1% (1 :1). Les valeurs représentent la moyenne (m) de 9 déterminations ±S</w:t>
                  </w:r>
                  <w:r>
                    <w:rPr>
                      <w:rFonts w:ascii="Times New Roman" w:hAnsi="Times New Roman" w:cs="Times New Roman"/>
                      <w:sz w:val="20"/>
                      <w:szCs w:val="20"/>
                    </w:rPr>
                    <w:t>EM</w:t>
                  </w:r>
                  <w:r w:rsidRPr="00150FC3">
                    <w:rPr>
                      <w:rFonts w:ascii="Times New Roman" w:hAnsi="Times New Roman" w:cs="Times New Roman"/>
                      <w:sz w:val="20"/>
                      <w:szCs w:val="20"/>
                    </w:rPr>
                    <w:t xml:space="preserve"> (n</w:t>
                  </w:r>
                  <w:r>
                    <w:rPr>
                      <w:rFonts w:ascii="Times New Roman" w:hAnsi="Times New Roman" w:cs="Times New Roman"/>
                      <w:sz w:val="20"/>
                      <w:szCs w:val="20"/>
                    </w:rPr>
                    <w:t xml:space="preserve"> </w:t>
                  </w:r>
                  <w:r w:rsidRPr="00150FC3">
                    <w:rPr>
                      <w:rFonts w:ascii="Times New Roman" w:hAnsi="Times New Roman" w:cs="Times New Roman"/>
                      <w:sz w:val="20"/>
                      <w:szCs w:val="20"/>
                    </w:rPr>
                    <w:t>=</w:t>
                  </w:r>
                  <w:r>
                    <w:rPr>
                      <w:rFonts w:ascii="Times New Roman" w:hAnsi="Times New Roman" w:cs="Times New Roman"/>
                      <w:sz w:val="20"/>
                      <w:szCs w:val="20"/>
                    </w:rPr>
                    <w:t xml:space="preserve"> </w:t>
                  </w:r>
                  <w:r w:rsidRPr="00150FC3">
                    <w:rPr>
                      <w:rFonts w:ascii="Times New Roman" w:hAnsi="Times New Roman" w:cs="Times New Roman"/>
                      <w:sz w:val="20"/>
                      <w:szCs w:val="20"/>
                    </w:rPr>
                    <w:t xml:space="preserve">9). </w:t>
                  </w:r>
                </w:p>
                <w:p w:rsidR="00310CA5" w:rsidRDefault="00310CA5" w:rsidP="006C66E7"/>
              </w:txbxContent>
            </v:textbox>
          </v:shape>
        </w:pict>
      </w:r>
      <w:r>
        <w:rPr>
          <w:rFonts w:asciiTheme="majorBidi" w:hAnsiTheme="majorBidi" w:cstheme="majorBidi"/>
          <w:noProof/>
          <w:lang w:eastAsia="fr-FR"/>
        </w:rPr>
        <w:pict>
          <v:shape id="_x0000_s2145" type="#_x0000_t202" style="position:absolute;margin-left:3.6pt;margin-top:-8.15pt;width:436.5pt;height:684.75pt;z-index:251757568">
            <v:textbox>
              <w:txbxContent>
                <w:p w:rsidR="00310CA5" w:rsidRDefault="00310CA5" w:rsidP="006C66E7"/>
              </w:txbxContent>
            </v:textbox>
          </v:shape>
        </w:pict>
      </w:r>
      <w:r>
        <w:rPr>
          <w:rFonts w:asciiTheme="majorBidi" w:hAnsiTheme="majorBidi" w:cstheme="majorBidi"/>
          <w:noProof/>
          <w:lang w:eastAsia="fr-FR"/>
        </w:rPr>
        <w:pict>
          <v:shape id="_x0000_s2150" type="#_x0000_t202" style="position:absolute;margin-left:236.85pt;margin-top:369.1pt;width:195.75pt;height:183pt;z-index:251762688" strokecolor="white [3212]">
            <v:textbox>
              <w:txbxContent>
                <w:p w:rsidR="00310CA5" w:rsidRDefault="00310CA5" w:rsidP="006C66E7">
                  <w:pPr>
                    <w:ind w:firstLine="0"/>
                  </w:pPr>
                  <w:r w:rsidRPr="00EB41A0">
                    <w:rPr>
                      <w:noProof/>
                      <w:lang w:eastAsia="fr-FR"/>
                    </w:rPr>
                    <w:drawing>
                      <wp:inline distT="0" distB="0" distL="0" distR="0">
                        <wp:extent cx="2295525" cy="2114550"/>
                        <wp:effectExtent l="57150" t="19050" r="0" b="0"/>
                        <wp:docPr id="911" name="Graphique 91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2"/>
                          </a:graphicData>
                        </a:graphic>
                      </wp:inline>
                    </w:drawing>
                  </w:r>
                </w:p>
              </w:txbxContent>
            </v:textbox>
          </v:shape>
        </w:pict>
      </w:r>
      <w:r>
        <w:rPr>
          <w:rFonts w:asciiTheme="majorBidi" w:hAnsiTheme="majorBidi" w:cstheme="majorBidi"/>
          <w:noProof/>
          <w:lang w:eastAsia="fr-FR"/>
        </w:rPr>
        <w:pict>
          <v:shape id="_x0000_s2149" type="#_x0000_t202" style="position:absolute;margin-left:15.6pt;margin-top:369.1pt;width:212.25pt;height:183pt;z-index:251761664" strokecolor="white [3212]">
            <v:textbox>
              <w:txbxContent>
                <w:p w:rsidR="00310CA5" w:rsidRDefault="00310CA5" w:rsidP="006C66E7">
                  <w:pPr>
                    <w:ind w:firstLine="0"/>
                  </w:pPr>
                  <w:r w:rsidRPr="00EB41A0">
                    <w:rPr>
                      <w:noProof/>
                      <w:lang w:eastAsia="fr-FR"/>
                    </w:rPr>
                    <w:drawing>
                      <wp:inline distT="0" distB="0" distL="0" distR="0">
                        <wp:extent cx="2503170" cy="2114550"/>
                        <wp:effectExtent l="19050" t="19050" r="11430" b="0"/>
                        <wp:docPr id="910" name="Graphique 910"/>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3"/>
                          </a:graphicData>
                        </a:graphic>
                      </wp:inline>
                    </w:drawing>
                  </w:r>
                </w:p>
              </w:txbxContent>
            </v:textbox>
          </v:shape>
        </w:pict>
      </w:r>
      <w:r>
        <w:rPr>
          <w:rFonts w:asciiTheme="majorBidi" w:hAnsiTheme="majorBidi" w:cstheme="majorBidi"/>
          <w:noProof/>
          <w:lang w:eastAsia="fr-FR"/>
        </w:rPr>
        <w:pict>
          <v:shape id="_x0000_s2148" type="#_x0000_t202" style="position:absolute;margin-left:124.35pt;margin-top:186.1pt;width:202.5pt;height:179.25pt;z-index:251760640" strokecolor="white [3212]">
            <v:textbox>
              <w:txbxContent>
                <w:p w:rsidR="00310CA5" w:rsidRDefault="00310CA5" w:rsidP="006C66E7">
                  <w:pPr>
                    <w:ind w:firstLine="0"/>
                  </w:pPr>
                  <w:r w:rsidRPr="00EB41A0">
                    <w:rPr>
                      <w:noProof/>
                      <w:lang w:eastAsia="fr-FR"/>
                    </w:rPr>
                    <w:drawing>
                      <wp:inline distT="0" distB="0" distL="0" distR="0">
                        <wp:extent cx="2362200" cy="2095500"/>
                        <wp:effectExtent l="57150" t="19050" r="19050" b="0"/>
                        <wp:docPr id="909" name="Graphique 90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4"/>
                          </a:graphicData>
                        </a:graphic>
                      </wp:inline>
                    </w:drawing>
                  </w:r>
                </w:p>
              </w:txbxContent>
            </v:textbox>
          </v:shape>
        </w:pict>
      </w:r>
      <w:r>
        <w:rPr>
          <w:rFonts w:asciiTheme="majorBidi" w:hAnsiTheme="majorBidi" w:cstheme="majorBidi"/>
          <w:noProof/>
          <w:lang w:eastAsia="fr-FR"/>
        </w:rPr>
        <w:pict>
          <v:shape id="_x0000_s2147" type="#_x0000_t202" style="position:absolute;margin-left:233.1pt;margin-top:12.85pt;width:195pt;height:173.25pt;z-index:251759616" strokecolor="white [3212]">
            <v:textbox>
              <w:txbxContent>
                <w:p w:rsidR="00310CA5" w:rsidRPr="00EB41A0" w:rsidRDefault="00310CA5" w:rsidP="006C66E7">
                  <w:pPr>
                    <w:ind w:firstLine="0"/>
                  </w:pPr>
                  <w:r w:rsidRPr="00EB41A0">
                    <w:rPr>
                      <w:noProof/>
                      <w:lang w:eastAsia="fr-FR"/>
                    </w:rPr>
                    <w:drawing>
                      <wp:inline distT="0" distB="0" distL="0" distR="0">
                        <wp:extent cx="2284095" cy="2038350"/>
                        <wp:effectExtent l="57150" t="0" r="20955" b="0"/>
                        <wp:docPr id="908" name="Graphique 90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5"/>
                          </a:graphicData>
                        </a:graphic>
                      </wp:inline>
                    </w:drawing>
                  </w:r>
                </w:p>
              </w:txbxContent>
            </v:textbox>
          </v:shape>
        </w:pict>
      </w:r>
      <w:r>
        <w:rPr>
          <w:rFonts w:asciiTheme="majorBidi" w:hAnsiTheme="majorBidi" w:cstheme="majorBidi"/>
          <w:noProof/>
          <w:lang w:eastAsia="fr-FR"/>
        </w:rPr>
        <w:pict>
          <v:shape id="_x0000_s2146" type="#_x0000_t202" style="position:absolute;margin-left:8.1pt;margin-top:12.85pt;width:210.75pt;height:173.25pt;z-index:251758592" strokecolor="white [3212]">
            <v:textbox>
              <w:txbxContent>
                <w:p w:rsidR="00310CA5" w:rsidRDefault="00310CA5" w:rsidP="006C66E7">
                  <w:pPr>
                    <w:ind w:firstLine="0"/>
                  </w:pPr>
                  <w:r w:rsidRPr="00EB41A0">
                    <w:rPr>
                      <w:noProof/>
                      <w:lang w:eastAsia="fr-FR"/>
                    </w:rPr>
                    <w:drawing>
                      <wp:inline distT="0" distB="0" distL="0" distR="0">
                        <wp:extent cx="2457450" cy="2019300"/>
                        <wp:effectExtent l="57150" t="19050" r="19050" b="0"/>
                        <wp:docPr id="907" name="Graphique 90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6"/>
                          </a:graphicData>
                        </a:graphic>
                      </wp:inline>
                    </w:drawing>
                  </w:r>
                </w:p>
              </w:txbxContent>
            </v:textbox>
          </v:shape>
        </w:pict>
      </w:r>
      <w:r w:rsidR="006C66E7">
        <w:rPr>
          <w:rFonts w:asciiTheme="majorBidi" w:hAnsiTheme="majorBidi" w:cstheme="majorBidi"/>
        </w:rPr>
        <w:br w:type="page"/>
      </w: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color w:val="0000FF"/>
        </w:rPr>
        <w:lastRenderedPageBreak/>
        <w:t>Sodini et al. (2002)</w:t>
      </w:r>
      <w:r w:rsidRPr="0067253E">
        <w:rPr>
          <w:rFonts w:asciiTheme="majorBidi" w:hAnsiTheme="majorBidi" w:cstheme="majorBidi"/>
        </w:rPr>
        <w:t xml:space="preserve"> ont observé que le pH final d’une culture associant des souches probiotiques aux starters du yaourt dans le lait fermenté est acide en présence de </w:t>
      </w:r>
      <w:r w:rsidRPr="0067253E">
        <w:rPr>
          <w:rFonts w:asciiTheme="majorBidi" w:hAnsiTheme="majorBidi" w:cstheme="majorBidi"/>
          <w:i/>
          <w:iCs/>
        </w:rPr>
        <w:t>Lb. bulgaricus</w:t>
      </w:r>
      <w:r w:rsidRPr="0067253E">
        <w:rPr>
          <w:rFonts w:asciiTheme="majorBidi" w:hAnsiTheme="majorBidi" w:cstheme="majorBidi"/>
        </w:rPr>
        <w:t xml:space="preserve"> (4.12 à 4.15) comparativement à l’absence de cette bactérie protéolytique (4.24 à 4.25).</w:t>
      </w:r>
    </w:p>
    <w:p w:rsidR="006C66E7" w:rsidRPr="0067253E"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Selon </w:t>
      </w:r>
      <w:r w:rsidRPr="0067253E">
        <w:rPr>
          <w:rFonts w:asciiTheme="majorBidi" w:hAnsiTheme="majorBidi" w:cstheme="majorBidi"/>
          <w:color w:val="0000FF"/>
        </w:rPr>
        <w:t>Shah et al. (1995)</w:t>
      </w:r>
      <w:r w:rsidRPr="0067253E">
        <w:rPr>
          <w:rFonts w:asciiTheme="majorBidi" w:hAnsiTheme="majorBidi" w:cstheme="majorBidi"/>
        </w:rPr>
        <w:t xml:space="preserve"> ; Les yaourts australiens commerciaux contenant </w:t>
      </w:r>
      <w:r w:rsidRPr="0067253E">
        <w:rPr>
          <w:rFonts w:asciiTheme="majorBidi" w:hAnsiTheme="majorBidi" w:cstheme="majorBidi"/>
          <w:i/>
          <w:iCs/>
        </w:rPr>
        <w:t>Lb. acidophilus</w:t>
      </w:r>
      <w:r w:rsidRPr="0067253E">
        <w:rPr>
          <w:rFonts w:asciiTheme="majorBidi" w:hAnsiTheme="majorBidi" w:cstheme="majorBidi"/>
        </w:rPr>
        <w:t xml:space="preserve"> et </w:t>
      </w:r>
      <w:r w:rsidRPr="0067253E">
        <w:rPr>
          <w:rFonts w:asciiTheme="majorBidi" w:hAnsiTheme="majorBidi" w:cstheme="majorBidi"/>
          <w:i/>
          <w:iCs/>
        </w:rPr>
        <w:t>B. bifidum</w:t>
      </w:r>
      <w:r w:rsidRPr="0067253E">
        <w:rPr>
          <w:rFonts w:asciiTheme="majorBidi" w:hAnsiTheme="majorBidi" w:cstheme="majorBidi"/>
        </w:rPr>
        <w:t xml:space="preserve"> ont un pH entre 4.07 à 4.36 (en fin de fermentation) et 3.8 à 4.26 (après 33jours d’entreposage).</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b/>
          <w:bCs/>
        </w:rPr>
      </w:pPr>
      <w:r w:rsidRPr="0067253E">
        <w:rPr>
          <w:rFonts w:asciiTheme="majorBidi" w:hAnsiTheme="majorBidi" w:cstheme="majorBidi"/>
          <w:b/>
          <w:bCs/>
        </w:rPr>
        <w:t>V.3. La production d’</w:t>
      </w:r>
      <w:r>
        <w:rPr>
          <w:rFonts w:asciiTheme="majorBidi" w:hAnsiTheme="majorBidi" w:cstheme="majorBidi"/>
          <w:b/>
          <w:bCs/>
        </w:rPr>
        <w:t>exopolysaccharides (</w:t>
      </w:r>
      <w:r w:rsidRPr="0067253E">
        <w:rPr>
          <w:rFonts w:asciiTheme="majorBidi" w:hAnsiTheme="majorBidi" w:cstheme="majorBidi"/>
          <w:b/>
          <w:bCs/>
        </w:rPr>
        <w:t>EPS</w:t>
      </w:r>
      <w:r>
        <w:rPr>
          <w:rFonts w:asciiTheme="majorBidi" w:hAnsiTheme="majorBidi" w:cstheme="majorBidi"/>
          <w:b/>
          <w:bCs/>
        </w:rPr>
        <w:t>)</w:t>
      </w:r>
      <w:r w:rsidRPr="0067253E">
        <w:rPr>
          <w:rFonts w:asciiTheme="majorBidi" w:hAnsiTheme="majorBidi" w:cstheme="majorBidi"/>
          <w:b/>
          <w:bCs/>
        </w:rPr>
        <w:t xml:space="preserve"> et la viscosité du lait fermenté</w:t>
      </w:r>
      <w:r>
        <w:rPr>
          <w:rFonts w:asciiTheme="majorBidi" w:hAnsiTheme="majorBidi" w:cstheme="majorBidi"/>
          <w:b/>
          <w:bCs/>
        </w:rPr>
        <w:t>.</w:t>
      </w:r>
    </w:p>
    <w:p w:rsidR="006C66E7" w:rsidRPr="0067253E" w:rsidRDefault="006C66E7" w:rsidP="006C66E7">
      <w:pPr>
        <w:spacing w:before="0" w:after="0" w:line="360" w:lineRule="auto"/>
        <w:ind w:firstLine="360"/>
        <w:contextualSpacing/>
        <w:jc w:val="both"/>
        <w:rPr>
          <w:rFonts w:asciiTheme="majorBidi" w:hAnsiTheme="majorBidi" w:cstheme="majorBidi"/>
          <w:b/>
          <w:bCs/>
        </w:rPr>
      </w:pPr>
    </w:p>
    <w:p w:rsidR="006C66E7" w:rsidRDefault="006C66E7" w:rsidP="006C66E7">
      <w:pPr>
        <w:spacing w:before="0" w:after="0" w:line="360" w:lineRule="auto"/>
        <w:ind w:firstLine="360"/>
        <w:contextualSpacing/>
        <w:jc w:val="both"/>
        <w:rPr>
          <w:rFonts w:asciiTheme="majorBidi" w:hAnsiTheme="majorBidi" w:cstheme="majorBidi"/>
          <w:b/>
          <w:bCs/>
        </w:rPr>
      </w:pPr>
      <w:r w:rsidRPr="0067253E">
        <w:rPr>
          <w:rFonts w:asciiTheme="majorBidi" w:hAnsiTheme="majorBidi" w:cstheme="majorBidi"/>
          <w:b/>
          <w:bCs/>
        </w:rPr>
        <w:t>V.3.1. La production d’EPS par différents types de culture</w:t>
      </w:r>
      <w:r>
        <w:rPr>
          <w:rFonts w:asciiTheme="majorBidi" w:hAnsiTheme="majorBidi" w:cstheme="majorBidi"/>
          <w:b/>
          <w:bCs/>
        </w:rPr>
        <w:t>.</w:t>
      </w:r>
    </w:p>
    <w:p w:rsidR="006C66E7" w:rsidRPr="0067253E" w:rsidRDefault="006C66E7" w:rsidP="006C66E7">
      <w:pPr>
        <w:spacing w:before="0" w:after="0" w:line="360" w:lineRule="auto"/>
        <w:ind w:firstLine="360"/>
        <w:contextualSpacing/>
        <w:jc w:val="both"/>
        <w:rPr>
          <w:rFonts w:asciiTheme="majorBidi" w:hAnsiTheme="majorBidi" w:cstheme="majorBidi"/>
          <w:b/>
          <w:bCs/>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La production d’EPS, en présence ou en absence d’ingrédients protéiques, par le mélange de ferments lactiques </w:t>
      </w:r>
      <w:r w:rsidRPr="00AF0372">
        <w:rPr>
          <w:rFonts w:asciiTheme="majorBidi" w:hAnsiTheme="majorBidi" w:cstheme="majorBidi"/>
          <w:i/>
          <w:iCs/>
        </w:rPr>
        <w:t>Streptococcus</w:t>
      </w:r>
      <w:r w:rsidRPr="00AF0372">
        <w:rPr>
          <w:rFonts w:asciiTheme="majorBidi" w:hAnsiTheme="majorBidi" w:cstheme="majorBidi"/>
        </w:rPr>
        <w:t xml:space="preserve"> </w:t>
      </w:r>
      <w:r w:rsidRPr="00AF0372">
        <w:rPr>
          <w:rFonts w:asciiTheme="majorBidi" w:hAnsiTheme="majorBidi" w:cstheme="majorBidi"/>
          <w:i/>
          <w:iCs/>
        </w:rPr>
        <w:t>thermophilus</w:t>
      </w:r>
      <w:r w:rsidRPr="0067253E">
        <w:rPr>
          <w:rFonts w:asciiTheme="majorBidi" w:hAnsiTheme="majorBidi" w:cstheme="majorBidi"/>
        </w:rPr>
        <w:t xml:space="preserve"> et </w:t>
      </w:r>
      <w:r w:rsidRPr="00AF0372">
        <w:rPr>
          <w:rFonts w:asciiTheme="majorBidi" w:hAnsiTheme="majorBidi" w:cstheme="majorBidi"/>
          <w:i/>
          <w:iCs/>
        </w:rPr>
        <w:t>Lactobacillus bulgaricus</w:t>
      </w:r>
      <w:r w:rsidRPr="0067253E">
        <w:rPr>
          <w:rFonts w:asciiTheme="majorBidi" w:hAnsiTheme="majorBidi" w:cstheme="majorBidi"/>
        </w:rPr>
        <w:t xml:space="preserve"> YF-L812 ou par </w:t>
      </w:r>
      <w:r w:rsidRPr="00AF0372">
        <w:rPr>
          <w:rFonts w:asciiTheme="majorBidi" w:hAnsiTheme="majorBidi" w:cstheme="majorBidi"/>
          <w:i/>
          <w:iCs/>
        </w:rPr>
        <w:t>Streptococcus</w:t>
      </w:r>
      <w:r w:rsidRPr="0067253E">
        <w:rPr>
          <w:rFonts w:asciiTheme="majorBidi" w:hAnsiTheme="majorBidi" w:cstheme="majorBidi"/>
        </w:rPr>
        <w:t xml:space="preserve"> </w:t>
      </w:r>
      <w:r w:rsidRPr="00AF0372">
        <w:rPr>
          <w:rFonts w:asciiTheme="majorBidi" w:hAnsiTheme="majorBidi" w:cstheme="majorBidi"/>
          <w:i/>
          <w:iCs/>
        </w:rPr>
        <w:t>thermophilus</w:t>
      </w:r>
      <w:r w:rsidRPr="0067253E">
        <w:rPr>
          <w:rFonts w:asciiTheme="majorBidi" w:hAnsiTheme="majorBidi" w:cstheme="majorBidi"/>
        </w:rPr>
        <w:t xml:space="preserve"> seule, était comprise entre 101.85 et 178.2 mg/l, 75.95 et 196.33 mg/l d’EPS, respectivement</w:t>
      </w:r>
      <w:r>
        <w:rPr>
          <w:rFonts w:asciiTheme="majorBidi" w:hAnsiTheme="majorBidi" w:cstheme="majorBidi"/>
        </w:rPr>
        <w:t xml:space="preserve"> </w:t>
      </w:r>
      <w:r w:rsidRPr="00064862">
        <w:rPr>
          <w:rFonts w:asciiTheme="majorBidi" w:hAnsiTheme="majorBidi" w:cstheme="majorBidi"/>
          <w:color w:val="0000FF"/>
        </w:rPr>
        <w:t>(figure 16)</w:t>
      </w:r>
      <w:r w:rsidRPr="0067253E">
        <w:rPr>
          <w:rFonts w:asciiTheme="majorBidi" w:hAnsiTheme="majorBidi" w:cstheme="majorBidi"/>
        </w:rPr>
        <w:t>.</w:t>
      </w:r>
    </w:p>
    <w:p w:rsidR="00F13BB2" w:rsidRPr="0067253E" w:rsidRDefault="00F13BB2"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La présence de lactosérum </w:t>
      </w:r>
      <w:r>
        <w:rPr>
          <w:rFonts w:asciiTheme="majorBidi" w:hAnsiTheme="majorBidi" w:cstheme="majorBidi"/>
        </w:rPr>
        <w:t xml:space="preserve">doux </w:t>
      </w:r>
      <w:r w:rsidRPr="0067253E">
        <w:rPr>
          <w:rFonts w:asciiTheme="majorBidi" w:hAnsiTheme="majorBidi" w:cstheme="majorBidi"/>
        </w:rPr>
        <w:t xml:space="preserve">a montré une stimulation (P&lt;0.05) du rendement d’EPS avec un taux d’amélioration de 94.60% par rapport au témoin pour la culture des deux ferments lactiques, et de 65.15% pour la culture qu’avec </w:t>
      </w:r>
      <w:r w:rsidRPr="00AF0372">
        <w:rPr>
          <w:rFonts w:asciiTheme="majorBidi" w:hAnsiTheme="majorBidi" w:cstheme="majorBidi"/>
          <w:i/>
          <w:iCs/>
        </w:rPr>
        <w:t>Streptococcus</w:t>
      </w:r>
      <w:r w:rsidRPr="0067253E">
        <w:rPr>
          <w:rFonts w:asciiTheme="majorBidi" w:hAnsiTheme="majorBidi" w:cstheme="majorBidi"/>
        </w:rPr>
        <w:t xml:space="preserve"> </w:t>
      </w:r>
      <w:r w:rsidRPr="00AF0372">
        <w:rPr>
          <w:rFonts w:asciiTheme="majorBidi" w:hAnsiTheme="majorBidi" w:cstheme="majorBidi"/>
          <w:i/>
          <w:iCs/>
        </w:rPr>
        <w:t>thermophilus</w:t>
      </w:r>
      <w:r w:rsidRPr="0067253E">
        <w:rPr>
          <w:rFonts w:asciiTheme="majorBidi" w:hAnsiTheme="majorBidi" w:cstheme="majorBidi"/>
        </w:rPr>
        <w:t>.</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Le lait fermenté par </w:t>
      </w:r>
      <w:r w:rsidRPr="0067253E">
        <w:rPr>
          <w:rFonts w:asciiTheme="majorBidi" w:hAnsiTheme="majorBidi" w:cstheme="majorBidi"/>
          <w:i/>
          <w:iCs/>
        </w:rPr>
        <w:t>Streptococcus</w:t>
      </w:r>
      <w:r w:rsidRPr="0067253E">
        <w:rPr>
          <w:rFonts w:asciiTheme="majorBidi" w:hAnsiTheme="majorBidi" w:cstheme="majorBidi"/>
        </w:rPr>
        <w:t xml:space="preserve"> </w:t>
      </w:r>
      <w:r w:rsidRPr="0067253E">
        <w:rPr>
          <w:rFonts w:asciiTheme="majorBidi" w:hAnsiTheme="majorBidi" w:cstheme="majorBidi"/>
          <w:i/>
          <w:iCs/>
        </w:rPr>
        <w:t>thermophilus</w:t>
      </w:r>
      <w:r w:rsidRPr="0067253E">
        <w:rPr>
          <w:rFonts w:asciiTheme="majorBidi" w:hAnsiTheme="majorBidi" w:cstheme="majorBidi"/>
        </w:rPr>
        <w:t xml:space="preserve"> ou par les deux bactéries lactiques, respectivement, présente une amélioration (P&lt;0.05) du rendement de production d’EPS en présence d’hydrolysat de caséine</w:t>
      </w:r>
      <w:r>
        <w:rPr>
          <w:rFonts w:asciiTheme="majorBidi" w:hAnsiTheme="majorBidi" w:cstheme="majorBidi"/>
        </w:rPr>
        <w:t>s</w:t>
      </w:r>
      <w:r w:rsidRPr="0067253E">
        <w:rPr>
          <w:rFonts w:asciiTheme="majorBidi" w:hAnsiTheme="majorBidi" w:cstheme="majorBidi"/>
        </w:rPr>
        <w:t xml:space="preserve"> de 33.10 et 19.97% par rapport au témoin, et en présence de Promilk C502 de 53.84 et 32.39% par rapport au témoin.</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Pr="0067253E"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 Le Promilk 852A2 n’a aucun effet stimulateur sur l’amélioration de la production d’EPS.</w:t>
      </w: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La meilleure productivité est dans le lait fermenté avec </w:t>
      </w:r>
      <w:r w:rsidRPr="00AF0372">
        <w:rPr>
          <w:rFonts w:asciiTheme="majorBidi" w:hAnsiTheme="majorBidi" w:cstheme="majorBidi"/>
          <w:i/>
          <w:iCs/>
        </w:rPr>
        <w:t>Streptococcus</w:t>
      </w:r>
      <w:r w:rsidRPr="0067253E">
        <w:rPr>
          <w:rFonts w:asciiTheme="majorBidi" w:hAnsiTheme="majorBidi" w:cstheme="majorBidi"/>
        </w:rPr>
        <w:t xml:space="preserve"> </w:t>
      </w:r>
      <w:r w:rsidRPr="00AF0372">
        <w:rPr>
          <w:rFonts w:asciiTheme="majorBidi" w:hAnsiTheme="majorBidi" w:cstheme="majorBidi"/>
          <w:i/>
          <w:iCs/>
        </w:rPr>
        <w:t>thermophilus</w:t>
      </w:r>
      <w:r w:rsidRPr="0067253E">
        <w:rPr>
          <w:rFonts w:asciiTheme="majorBidi" w:hAnsiTheme="majorBidi" w:cstheme="majorBidi"/>
        </w:rPr>
        <w:t xml:space="preserve"> ou les deux cultures starters en présence de lactosérum doux.</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lastRenderedPageBreak/>
        <w:t>La quantité d’EPS produite dans le lait fermenté en culture mixte avec les deux bactéries lactiques et une souche bénéfique, est très différente d’une souche à l’autre et vis-à-vis les différents ingrédients protéiques laitiers.</w:t>
      </w:r>
    </w:p>
    <w:p w:rsidR="006C66E7" w:rsidRDefault="006C66E7" w:rsidP="006C66E7">
      <w:pPr>
        <w:tabs>
          <w:tab w:val="left" w:pos="2925"/>
        </w:tabs>
        <w:spacing w:before="0" w:after="0" w:line="360" w:lineRule="auto"/>
        <w:ind w:firstLine="360"/>
        <w:contextualSpacing/>
        <w:jc w:val="both"/>
        <w:rPr>
          <w:rFonts w:asciiTheme="majorBidi" w:hAnsiTheme="majorBidi" w:cstheme="majorBidi"/>
        </w:rPr>
      </w:pPr>
      <w:r>
        <w:rPr>
          <w:rFonts w:asciiTheme="majorBidi" w:hAnsiTheme="majorBidi" w:cstheme="majorBidi"/>
        </w:rPr>
        <w:tab/>
      </w:r>
    </w:p>
    <w:p w:rsidR="006C66E7" w:rsidRDefault="006C66E7" w:rsidP="006C66E7">
      <w:pPr>
        <w:tabs>
          <w:tab w:val="left" w:pos="2925"/>
        </w:tabs>
        <w:spacing w:before="0" w:after="0" w:line="360" w:lineRule="auto"/>
        <w:ind w:firstLine="360"/>
        <w:contextualSpacing/>
        <w:jc w:val="both"/>
        <w:rPr>
          <w:rFonts w:asciiTheme="majorBidi" w:hAnsiTheme="majorBidi" w:cstheme="majorBidi"/>
        </w:rPr>
      </w:pPr>
      <w:r>
        <w:rPr>
          <w:rFonts w:asciiTheme="majorBidi" w:hAnsiTheme="majorBidi" w:cstheme="majorBidi"/>
        </w:rPr>
        <w:t xml:space="preserve">La souche LbRE-LSAS en culture mixte avec Streptococcus thermophilus et en présence de Promilk C502 présente un meilleur rendement d’EPS qui est de 533.63 mg/l avec un taux d’amélioration de 63.33% par rapport au témoin </w:t>
      </w:r>
      <w:r w:rsidRPr="00064862">
        <w:rPr>
          <w:rFonts w:asciiTheme="majorBidi" w:hAnsiTheme="majorBidi" w:cstheme="majorBidi"/>
          <w:color w:val="0000FF"/>
        </w:rPr>
        <w:t>(figure 18)</w:t>
      </w:r>
      <w:r>
        <w:rPr>
          <w:rFonts w:asciiTheme="majorBidi" w:hAnsiTheme="majorBidi" w:cstheme="majorBidi"/>
        </w:rPr>
        <w:t>.</w:t>
      </w:r>
    </w:p>
    <w:p w:rsidR="006C66E7" w:rsidRDefault="006C66E7" w:rsidP="006C66E7">
      <w:pPr>
        <w:tabs>
          <w:tab w:val="left" w:pos="2925"/>
        </w:tabs>
        <w:spacing w:before="0" w:after="0" w:line="360" w:lineRule="auto"/>
        <w:ind w:firstLine="360"/>
        <w:contextualSpacing/>
        <w:jc w:val="both"/>
        <w:rPr>
          <w:rFonts w:asciiTheme="majorBidi" w:hAnsiTheme="majorBidi" w:cstheme="majorBidi"/>
        </w:rPr>
      </w:pPr>
    </w:p>
    <w:p w:rsidR="006C66E7" w:rsidRPr="0067253E"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La souche LbRE-LSAS est la meilleure souche productrice d’EPS avec une quantité jusqu’à 673.5 mg/l en présence de lactosérum doux (50.35% d’amélioration par rapport au témoin)</w:t>
      </w:r>
      <w:r>
        <w:rPr>
          <w:rFonts w:asciiTheme="majorBidi" w:hAnsiTheme="majorBidi" w:cstheme="majorBidi"/>
        </w:rPr>
        <w:t xml:space="preserve"> </w:t>
      </w:r>
      <w:r w:rsidRPr="00064862">
        <w:rPr>
          <w:rFonts w:asciiTheme="majorBidi" w:hAnsiTheme="majorBidi" w:cstheme="majorBidi"/>
          <w:color w:val="0000FF"/>
        </w:rPr>
        <w:t>(figure 20)</w:t>
      </w:r>
      <w:r w:rsidRPr="0067253E">
        <w:rPr>
          <w:rFonts w:asciiTheme="majorBidi" w:hAnsiTheme="majorBidi" w:cstheme="majorBidi"/>
        </w:rPr>
        <w:t>.</w:t>
      </w: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La présence de Promilk 852A2 a un effet (P&lt;0.05) négatif sur le taux de production d’EPS avec une diminution de 50.17 mg/l par rapport au témoin.</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Alors que </w:t>
      </w:r>
      <w:r w:rsidRPr="00AF0372">
        <w:rPr>
          <w:rFonts w:asciiTheme="majorBidi" w:hAnsiTheme="majorBidi" w:cstheme="majorBidi"/>
          <w:i/>
          <w:iCs/>
        </w:rPr>
        <w:t>Lactobacillus</w:t>
      </w:r>
      <w:r w:rsidRPr="0067253E">
        <w:rPr>
          <w:rFonts w:asciiTheme="majorBidi" w:hAnsiTheme="majorBidi" w:cstheme="majorBidi"/>
        </w:rPr>
        <w:t xml:space="preserve"> </w:t>
      </w:r>
      <w:r w:rsidRPr="00AF0372">
        <w:rPr>
          <w:rFonts w:asciiTheme="majorBidi" w:hAnsiTheme="majorBidi" w:cstheme="majorBidi"/>
          <w:i/>
          <w:iCs/>
        </w:rPr>
        <w:t>acidophilus</w:t>
      </w:r>
      <w:r w:rsidRPr="0067253E">
        <w:rPr>
          <w:rFonts w:asciiTheme="majorBidi" w:hAnsiTheme="majorBidi" w:cstheme="majorBidi"/>
        </w:rPr>
        <w:t xml:space="preserve"> se situe aussi parmi les meilleures souches productrices d’EPS de 211.16 mg/l (en absence d’ingrédients protéiques laitiers), et de l’ordre de 562.93, 255.4, 370.66 et 427.73 mg/l en présence de lactosérum doux, de Promilk 852A2, d’hydrolysat de caséine et de Promilk C502, respectivement.</w:t>
      </w:r>
    </w:p>
    <w:p w:rsidR="00F13BB2" w:rsidRDefault="00F13BB2" w:rsidP="006C66E7">
      <w:pPr>
        <w:spacing w:before="0" w:after="0" w:line="360" w:lineRule="auto"/>
        <w:ind w:firstLine="360"/>
        <w:contextualSpacing/>
        <w:jc w:val="both"/>
        <w:rPr>
          <w:rFonts w:asciiTheme="majorBidi" w:hAnsiTheme="majorBidi" w:cstheme="majorBidi"/>
        </w:rPr>
      </w:pPr>
    </w:p>
    <w:p w:rsidR="002203B9" w:rsidRDefault="002203B9" w:rsidP="002203B9">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Les souches BLR, Bb12 et Lbp CECT748, respectivement, produisent une quantité d’EPS (en absence ou en présence d’ingrédients protéiques laitiers) comprise entre 146.58 à 254.91 mg/l, 165.25 à 264.45 mg/l et 134.86 à 228.83 mg/l. Et dans le même ordre, un taux d’amélioration de 6.27 à 73.9%, 12.98 à 60.03% et 5.76 à 69.67% par rapport au témoin.</w:t>
      </w:r>
    </w:p>
    <w:p w:rsidR="002203B9" w:rsidRPr="0067253E" w:rsidRDefault="002203B9" w:rsidP="002203B9">
      <w:pPr>
        <w:spacing w:before="0" w:after="0" w:line="360" w:lineRule="auto"/>
        <w:ind w:firstLine="360"/>
        <w:contextualSpacing/>
        <w:jc w:val="both"/>
        <w:rPr>
          <w:rFonts w:asciiTheme="majorBidi" w:hAnsiTheme="majorBidi" w:cstheme="majorBidi"/>
        </w:rPr>
      </w:pPr>
    </w:p>
    <w:p w:rsidR="002203B9" w:rsidRDefault="002203B9" w:rsidP="002203B9">
      <w:pPr>
        <w:spacing w:before="0" w:after="0" w:line="360" w:lineRule="auto"/>
        <w:ind w:firstLine="360"/>
        <w:contextualSpacing/>
        <w:jc w:val="both"/>
        <w:rPr>
          <w:rFonts w:asciiTheme="majorBidi" w:hAnsiTheme="majorBidi" w:cstheme="majorBidi"/>
        </w:rPr>
      </w:pPr>
      <w:r w:rsidRPr="00DF5471">
        <w:rPr>
          <w:rFonts w:asciiTheme="majorBidi" w:hAnsiTheme="majorBidi" w:cstheme="majorBidi"/>
          <w:color w:val="0000FF"/>
        </w:rPr>
        <w:t>Vaningelgem et al. (2004)</w:t>
      </w:r>
      <w:r w:rsidRPr="0067253E">
        <w:rPr>
          <w:rFonts w:asciiTheme="majorBidi" w:hAnsiTheme="majorBidi" w:cstheme="majorBidi"/>
        </w:rPr>
        <w:t xml:space="preserve">, avaient constaté que la présence d’extrait de levure, peptone et les hydrolysats de protéines (tels que l’hydrolysat de protéines de lactosérum) au lait fermenté ont permis d’améliorer la croissance et la production d’EPS avec </w:t>
      </w:r>
      <w:r w:rsidRPr="00AF0372">
        <w:rPr>
          <w:rFonts w:asciiTheme="majorBidi" w:hAnsiTheme="majorBidi" w:cstheme="majorBidi"/>
          <w:i/>
          <w:iCs/>
        </w:rPr>
        <w:t>Streptococcus</w:t>
      </w:r>
      <w:r w:rsidRPr="0067253E">
        <w:rPr>
          <w:rFonts w:asciiTheme="majorBidi" w:hAnsiTheme="majorBidi" w:cstheme="majorBidi"/>
        </w:rPr>
        <w:t xml:space="preserve"> </w:t>
      </w:r>
      <w:r w:rsidRPr="00AF0372">
        <w:rPr>
          <w:rFonts w:asciiTheme="majorBidi" w:hAnsiTheme="majorBidi" w:cstheme="majorBidi"/>
          <w:i/>
          <w:iCs/>
        </w:rPr>
        <w:t>thermophilus</w:t>
      </w:r>
      <w:r w:rsidRPr="0067253E">
        <w:rPr>
          <w:rFonts w:asciiTheme="majorBidi" w:hAnsiTheme="majorBidi" w:cstheme="majorBidi"/>
        </w:rPr>
        <w:t xml:space="preserve"> ST 111.</w:t>
      </w:r>
    </w:p>
    <w:p w:rsidR="002203B9" w:rsidRPr="0067253E" w:rsidRDefault="002203B9" w:rsidP="002203B9">
      <w:pPr>
        <w:spacing w:before="0" w:after="0" w:line="360" w:lineRule="auto"/>
        <w:ind w:firstLine="360"/>
        <w:contextualSpacing/>
        <w:jc w:val="both"/>
        <w:rPr>
          <w:rFonts w:asciiTheme="majorBidi" w:hAnsiTheme="majorBidi" w:cstheme="majorBidi"/>
        </w:rPr>
      </w:pPr>
    </w:p>
    <w:p w:rsidR="002203B9" w:rsidRDefault="002203B9" w:rsidP="002203B9">
      <w:pPr>
        <w:spacing w:before="0" w:after="0" w:line="360" w:lineRule="auto"/>
        <w:ind w:firstLine="360"/>
        <w:contextualSpacing/>
        <w:jc w:val="both"/>
        <w:rPr>
          <w:rFonts w:asciiTheme="majorBidi" w:hAnsiTheme="majorBidi" w:cstheme="majorBidi"/>
        </w:rPr>
      </w:pPr>
      <w:r w:rsidRPr="00DF5471">
        <w:rPr>
          <w:rFonts w:asciiTheme="majorBidi" w:hAnsiTheme="majorBidi" w:cstheme="majorBidi"/>
          <w:color w:val="0000FF"/>
        </w:rPr>
        <w:t xml:space="preserve">Cerning et al. (1990) </w:t>
      </w:r>
      <w:r w:rsidRPr="0067253E">
        <w:rPr>
          <w:rFonts w:asciiTheme="majorBidi" w:hAnsiTheme="majorBidi" w:cstheme="majorBidi"/>
        </w:rPr>
        <w:t xml:space="preserve">avaient remarqué que la caséine peut stimuler la production d’EPS par </w:t>
      </w:r>
      <w:r w:rsidRPr="00AF0372">
        <w:rPr>
          <w:rFonts w:asciiTheme="majorBidi" w:hAnsiTheme="majorBidi" w:cstheme="majorBidi"/>
          <w:i/>
          <w:iCs/>
        </w:rPr>
        <w:t>Lactobacillus</w:t>
      </w:r>
      <w:r w:rsidRPr="0067253E">
        <w:rPr>
          <w:rFonts w:asciiTheme="majorBidi" w:hAnsiTheme="majorBidi" w:cstheme="majorBidi"/>
        </w:rPr>
        <w:t xml:space="preserve"> </w:t>
      </w:r>
      <w:r w:rsidRPr="00AF0372">
        <w:rPr>
          <w:rFonts w:asciiTheme="majorBidi" w:hAnsiTheme="majorBidi" w:cstheme="majorBidi"/>
          <w:i/>
          <w:iCs/>
        </w:rPr>
        <w:t>delbruekii</w:t>
      </w:r>
      <w:r w:rsidRPr="0067253E">
        <w:rPr>
          <w:rFonts w:asciiTheme="majorBidi" w:hAnsiTheme="majorBidi" w:cstheme="majorBidi"/>
        </w:rPr>
        <w:t xml:space="preserve"> ssp </w:t>
      </w:r>
      <w:r w:rsidRPr="00AF0372">
        <w:rPr>
          <w:rFonts w:asciiTheme="majorBidi" w:hAnsiTheme="majorBidi" w:cstheme="majorBidi"/>
          <w:i/>
          <w:iCs/>
        </w:rPr>
        <w:t>bulgaricus</w:t>
      </w:r>
      <w:r w:rsidRPr="0067253E">
        <w:rPr>
          <w:rFonts w:asciiTheme="majorBidi" w:hAnsiTheme="majorBidi" w:cstheme="majorBidi"/>
        </w:rPr>
        <w:t xml:space="preserve"> sans affecter sa croissance.</w:t>
      </w:r>
    </w:p>
    <w:p w:rsidR="00F13BB2" w:rsidRDefault="00F13BB2" w:rsidP="006C66E7">
      <w:pPr>
        <w:spacing w:before="0" w:after="0" w:line="360" w:lineRule="auto"/>
        <w:ind w:firstLine="360"/>
        <w:contextualSpacing/>
        <w:jc w:val="both"/>
        <w:rPr>
          <w:rFonts w:asciiTheme="majorBidi" w:hAnsiTheme="majorBidi" w:cstheme="majorBidi"/>
        </w:rPr>
      </w:pPr>
    </w:p>
    <w:p w:rsidR="006C66E7" w:rsidRPr="0067253E" w:rsidRDefault="006F133D" w:rsidP="006C66E7">
      <w:pPr>
        <w:spacing w:before="0" w:after="0" w:line="360" w:lineRule="auto"/>
        <w:ind w:firstLine="360"/>
        <w:contextualSpacing/>
        <w:jc w:val="both"/>
        <w:rPr>
          <w:rFonts w:asciiTheme="majorBidi" w:hAnsiTheme="majorBidi" w:cstheme="majorBidi"/>
        </w:rPr>
      </w:pPr>
      <w:r>
        <w:rPr>
          <w:rFonts w:asciiTheme="majorBidi" w:hAnsiTheme="majorBidi" w:cstheme="majorBidi"/>
          <w:noProof/>
          <w:lang w:eastAsia="fr-FR"/>
        </w:rPr>
        <w:lastRenderedPageBreak/>
        <w:pict>
          <v:shape id="_x0000_s2152" type="#_x0000_t202" style="position:absolute;left:0;text-align:left;margin-left:.6pt;margin-top:-5.15pt;width:437.25pt;height:681pt;z-index:251764736">
            <v:textbox>
              <w:txbxContent>
                <w:p w:rsidR="00310CA5" w:rsidRDefault="00310CA5" w:rsidP="006C66E7"/>
              </w:txbxContent>
            </v:textbox>
          </v:shape>
        </w:pict>
      </w:r>
      <w:r>
        <w:rPr>
          <w:rFonts w:asciiTheme="majorBidi" w:hAnsiTheme="majorBidi" w:cstheme="majorBidi"/>
          <w:noProof/>
          <w:lang w:eastAsia="fr-FR"/>
        </w:rPr>
        <w:pict>
          <v:shape id="_x0000_s2155" type="#_x0000_t202" style="position:absolute;left:0;text-align:left;margin-left:34.35pt;margin-top:9.85pt;width:379.5pt;height:244.5pt;z-index:251767808" strokecolor="white [3212]">
            <v:textbox>
              <w:txbxContent>
                <w:p w:rsidR="00310CA5" w:rsidRDefault="00310CA5" w:rsidP="006C66E7">
                  <w:pPr>
                    <w:ind w:firstLine="0"/>
                  </w:pPr>
                  <w:r w:rsidRPr="00EB41A0">
                    <w:rPr>
                      <w:noProof/>
                      <w:lang w:eastAsia="fr-FR"/>
                    </w:rPr>
                    <w:drawing>
                      <wp:inline distT="0" distB="0" distL="0" distR="0">
                        <wp:extent cx="4295775" cy="2828925"/>
                        <wp:effectExtent l="19050" t="0" r="9525" b="0"/>
                        <wp:docPr id="912" name="Graphique 91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7"/>
                          </a:graphicData>
                        </a:graphic>
                      </wp:inline>
                    </w:drawing>
                  </w:r>
                </w:p>
              </w:txbxContent>
            </v:textbox>
          </v:shape>
        </w:pict>
      </w:r>
    </w:p>
    <w:p w:rsidR="006C66E7" w:rsidRDefault="006F133D" w:rsidP="006C66E7">
      <w:pPr>
        <w:spacing w:before="0" w:after="0" w:line="276" w:lineRule="auto"/>
        <w:ind w:firstLine="0"/>
        <w:rPr>
          <w:rFonts w:asciiTheme="majorBidi" w:hAnsiTheme="majorBidi" w:cstheme="majorBidi"/>
        </w:rPr>
      </w:pPr>
      <w:r>
        <w:rPr>
          <w:rFonts w:asciiTheme="majorBidi" w:hAnsiTheme="majorBidi" w:cstheme="majorBidi"/>
          <w:noProof/>
          <w:lang w:eastAsia="fr-FR"/>
        </w:rPr>
        <w:pict>
          <v:shape id="_x0000_s2158" type="#_x0000_t202" style="position:absolute;margin-left:13.35pt;margin-top:564.4pt;width:415.5pt;height:85.5pt;z-index:251770880" strokecolor="white [3212]">
            <v:textbox>
              <w:txbxContent>
                <w:p w:rsidR="00310CA5" w:rsidRPr="008C1A12" w:rsidRDefault="00310CA5" w:rsidP="006C66E7">
                  <w:pPr>
                    <w:ind w:left="993" w:hanging="993"/>
                    <w:jc w:val="both"/>
                    <w:rPr>
                      <w:rFonts w:ascii="Times New Roman" w:hAnsi="Times New Roman" w:cs="Times New Roman"/>
                      <w:sz w:val="20"/>
                      <w:szCs w:val="20"/>
                    </w:rPr>
                  </w:pPr>
                  <w:r w:rsidRPr="008C1A12">
                    <w:rPr>
                      <w:rFonts w:ascii="Times New Roman" w:hAnsi="Times New Roman" w:cs="Times New Roman"/>
                      <w:b/>
                      <w:bCs/>
                      <w:sz w:val="20"/>
                      <w:szCs w:val="20"/>
                      <w:u w:val="single"/>
                    </w:rPr>
                    <w:t>Figure 17</w:t>
                  </w:r>
                  <w:r w:rsidRPr="008C1A12">
                    <w:rPr>
                      <w:rFonts w:ascii="Times New Roman" w:hAnsi="Times New Roman" w:cs="Times New Roman"/>
                      <w:sz w:val="20"/>
                      <w:szCs w:val="20"/>
                    </w:rPr>
                    <w:t xml:space="preserve"> : </w:t>
                  </w:r>
                  <w:r w:rsidRPr="008C1A12">
                    <w:rPr>
                      <w:rFonts w:ascii="Times New Roman" w:hAnsi="Times New Roman" w:cs="Times New Roman"/>
                      <w:b/>
                      <w:bCs/>
                      <w:sz w:val="20"/>
                      <w:szCs w:val="20"/>
                    </w:rPr>
                    <w:t>Viscosité</w:t>
                  </w:r>
                  <w:r w:rsidRPr="008C1A12">
                    <w:rPr>
                      <w:rFonts w:ascii="Times New Roman" w:hAnsi="Times New Roman" w:cs="Times New Roman"/>
                      <w:sz w:val="20"/>
                      <w:szCs w:val="20"/>
                    </w:rPr>
                    <w:t xml:space="preserve"> (m.Pa.s) du lait fermenté à 37°C par </w:t>
                  </w:r>
                  <w:r w:rsidRPr="008C1A12">
                    <w:rPr>
                      <w:rFonts w:ascii="Times New Roman" w:hAnsi="Times New Roman" w:cs="Times New Roman"/>
                      <w:b/>
                      <w:bCs/>
                      <w:i/>
                      <w:iCs/>
                      <w:sz w:val="20"/>
                      <w:szCs w:val="20"/>
                    </w:rPr>
                    <w:t>Streptococcus thermophilus</w:t>
                  </w:r>
                  <w:r w:rsidRPr="008C1A12">
                    <w:rPr>
                      <w:rFonts w:ascii="Times New Roman" w:hAnsi="Times New Roman" w:cs="Times New Roman"/>
                      <w:sz w:val="20"/>
                      <w:szCs w:val="20"/>
                    </w:rPr>
                    <w:t xml:space="preserve"> en culture pure ou associée à </w:t>
                  </w:r>
                  <w:r w:rsidRPr="008C1A12">
                    <w:rPr>
                      <w:rFonts w:ascii="Times New Roman" w:hAnsi="Times New Roman" w:cs="Times New Roman"/>
                      <w:b/>
                      <w:bCs/>
                      <w:i/>
                      <w:iCs/>
                      <w:sz w:val="20"/>
                      <w:szCs w:val="20"/>
                    </w:rPr>
                    <w:t>Lactobacillus bulgaricus</w:t>
                  </w:r>
                  <w:r w:rsidRPr="008C1A12">
                    <w:rPr>
                      <w:rFonts w:ascii="Times New Roman" w:hAnsi="Times New Roman" w:cs="Times New Roman"/>
                      <w:sz w:val="20"/>
                      <w:szCs w:val="20"/>
                    </w:rPr>
                    <w:t xml:space="preserve"> dans le lait fermenté à 37°C en absence (témoin</w:t>
                  </w:r>
                  <w:r>
                    <w:rPr>
                      <w:rFonts w:ascii="Times New Roman" w:hAnsi="Times New Roman" w:cs="Times New Roman"/>
                      <w:noProof/>
                      <w:sz w:val="20"/>
                      <w:szCs w:val="20"/>
                      <w:lang w:eastAsia="fr-FR"/>
                    </w:rPr>
                    <w:t xml:space="preserve"> </w:t>
                  </w:r>
                  <w:r w:rsidRPr="00C44983">
                    <w:rPr>
                      <w:rFonts w:ascii="Times New Roman" w:hAnsi="Times New Roman" w:cs="Times New Roman"/>
                      <w:noProof/>
                      <w:color w:val="0070C0"/>
                      <w:sz w:val="20"/>
                      <w:szCs w:val="20"/>
                      <w:lang w:eastAsia="fr-FR"/>
                    </w:rPr>
                    <w:t>■</w:t>
                  </w:r>
                  <w:r w:rsidRPr="008C1A12">
                    <w:rPr>
                      <w:rFonts w:ascii="Times New Roman" w:hAnsi="Times New Roman" w:cs="Times New Roman"/>
                      <w:sz w:val="20"/>
                      <w:szCs w:val="20"/>
                    </w:rPr>
                    <w:t xml:space="preserve">), ou en présence de 0,53% (P/V) : </w:t>
                  </w:r>
                  <w:r w:rsidRPr="003468B2">
                    <w:rPr>
                      <w:rFonts w:ascii="Times New Roman" w:hAnsi="Times New Roman" w:cs="Times New Roman"/>
                      <w:sz w:val="20"/>
                      <w:szCs w:val="20"/>
                    </w:rPr>
                    <w:t>de lactosérum doux (</w:t>
                  </w:r>
                  <w:r w:rsidRPr="007A6C8B">
                    <w:rPr>
                      <w:rFonts w:ascii="Times New Roman" w:hAnsi="Times New Roman" w:cs="Times New Roman"/>
                      <w:color w:val="FF9900"/>
                      <w:sz w:val="20"/>
                      <w:szCs w:val="20"/>
                    </w:rPr>
                    <w:t>■</w:t>
                  </w:r>
                  <w:r w:rsidRPr="003468B2">
                    <w:rPr>
                      <w:rFonts w:ascii="Times New Roman" w:hAnsi="Times New Roman" w:cs="Times New Roman"/>
                      <w:sz w:val="20"/>
                      <w:szCs w:val="20"/>
                    </w:rPr>
                    <w:t>), de Promilk 852A2 (</w:t>
                  </w:r>
                  <w:r w:rsidRPr="00C44983">
                    <w:rPr>
                      <w:rFonts w:ascii="Times New Roman" w:hAnsi="Times New Roman" w:cs="Times New Roman"/>
                      <w:color w:val="92D050"/>
                      <w:sz w:val="20"/>
                      <w:szCs w:val="20"/>
                    </w:rPr>
                    <w:t>■</w:t>
                  </w:r>
                  <w:r w:rsidRPr="003468B2">
                    <w:rPr>
                      <w:rFonts w:ascii="Times New Roman" w:hAnsi="Times New Roman" w:cs="Times New Roman"/>
                      <w:sz w:val="20"/>
                      <w:szCs w:val="20"/>
                    </w:rPr>
                    <w:t>),</w:t>
                  </w:r>
                  <w:r>
                    <w:rPr>
                      <w:rFonts w:ascii="Times New Roman" w:hAnsi="Times New Roman" w:cs="Times New Roman"/>
                      <w:sz w:val="20"/>
                      <w:szCs w:val="20"/>
                    </w:rPr>
                    <w:t xml:space="preserve"> </w:t>
                  </w:r>
                  <w:r w:rsidRPr="003468B2">
                    <w:rPr>
                      <w:rFonts w:ascii="Times New Roman" w:hAnsi="Times New Roman" w:cs="Times New Roman"/>
                      <w:sz w:val="20"/>
                      <w:szCs w:val="20"/>
                    </w:rPr>
                    <w:t>de Promilk C502 (</w:t>
                  </w:r>
                  <w:r w:rsidRPr="00C44983">
                    <w:rPr>
                      <w:rFonts w:ascii="Times New Roman" w:hAnsi="Times New Roman" w:cs="Times New Roman"/>
                      <w:color w:val="FF33CC"/>
                      <w:sz w:val="20"/>
                      <w:szCs w:val="20"/>
                    </w:rPr>
                    <w:t>■</w:t>
                  </w:r>
                  <w:r w:rsidRPr="003468B2">
                    <w:rPr>
                      <w:rFonts w:ascii="Times New Roman" w:hAnsi="Times New Roman" w:cs="Times New Roman"/>
                      <w:sz w:val="20"/>
                      <w:szCs w:val="20"/>
                    </w:rPr>
                    <w:t>)</w:t>
                  </w:r>
                  <w:r>
                    <w:rPr>
                      <w:rFonts w:ascii="Times New Roman" w:hAnsi="Times New Roman" w:cs="Times New Roman"/>
                      <w:sz w:val="20"/>
                      <w:szCs w:val="20"/>
                    </w:rPr>
                    <w:t xml:space="preserve"> ou </w:t>
                  </w:r>
                  <w:r w:rsidRPr="003468B2">
                    <w:rPr>
                      <w:rFonts w:ascii="Times New Roman" w:hAnsi="Times New Roman" w:cs="Times New Roman"/>
                      <w:sz w:val="20"/>
                      <w:szCs w:val="20"/>
                    </w:rPr>
                    <w:t>d’hydrolysat de caséine (</w:t>
                  </w:r>
                  <w:r w:rsidRPr="00C44983">
                    <w:rPr>
                      <w:rFonts w:ascii="Times New Roman" w:hAnsi="Times New Roman" w:cs="Times New Roman"/>
                      <w:color w:val="990099"/>
                      <w:sz w:val="20"/>
                      <w:szCs w:val="20"/>
                    </w:rPr>
                    <w:t>■</w:t>
                  </w:r>
                  <w:r>
                    <w:rPr>
                      <w:rFonts w:ascii="Times New Roman" w:hAnsi="Times New Roman" w:cs="Times New Roman"/>
                      <w:sz w:val="20"/>
                      <w:szCs w:val="20"/>
                    </w:rPr>
                    <w:t>)</w:t>
                  </w:r>
                  <w:r w:rsidRPr="008C1A12">
                    <w:rPr>
                      <w:rFonts w:ascii="Times New Roman" w:hAnsi="Times New Roman" w:cs="Times New Roman"/>
                      <w:sz w:val="20"/>
                      <w:szCs w:val="20"/>
                    </w:rPr>
                    <w:t>. Dans toutes les cultures mixtes, l’inoculum est à une concentration finale de 10</w:t>
                  </w:r>
                  <w:r>
                    <w:rPr>
                      <w:rFonts w:ascii="Times New Roman" w:hAnsi="Times New Roman" w:cs="Times New Roman"/>
                      <w:sz w:val="20"/>
                      <w:szCs w:val="20"/>
                      <w:vertAlign w:val="superscript"/>
                    </w:rPr>
                    <w:t>6</w:t>
                  </w:r>
                  <w:r w:rsidRPr="008C1A12">
                    <w:rPr>
                      <w:rFonts w:ascii="Times New Roman" w:hAnsi="Times New Roman" w:cs="Times New Roman"/>
                      <w:sz w:val="20"/>
                      <w:szCs w:val="20"/>
                    </w:rPr>
                    <w:t xml:space="preserve"> UFC/ml et utilisé à 1% (1 :1). Les valeurs représentent la moyenne (m) de 9 déterminations ±S</w:t>
                  </w:r>
                  <w:r>
                    <w:rPr>
                      <w:rFonts w:ascii="Times New Roman" w:hAnsi="Times New Roman" w:cs="Times New Roman"/>
                      <w:sz w:val="20"/>
                      <w:szCs w:val="20"/>
                    </w:rPr>
                    <w:t>EM</w:t>
                  </w:r>
                  <w:r w:rsidRPr="008C1A12">
                    <w:rPr>
                      <w:rFonts w:ascii="Times New Roman" w:hAnsi="Times New Roman" w:cs="Times New Roman"/>
                      <w:sz w:val="20"/>
                      <w:szCs w:val="20"/>
                    </w:rPr>
                    <w:t xml:space="preserve"> (n</w:t>
                  </w:r>
                  <w:r>
                    <w:rPr>
                      <w:rFonts w:ascii="Times New Roman" w:hAnsi="Times New Roman" w:cs="Times New Roman"/>
                      <w:sz w:val="20"/>
                      <w:szCs w:val="20"/>
                    </w:rPr>
                    <w:t xml:space="preserve"> </w:t>
                  </w:r>
                  <w:r w:rsidRPr="008C1A12">
                    <w:rPr>
                      <w:rFonts w:ascii="Times New Roman" w:hAnsi="Times New Roman" w:cs="Times New Roman"/>
                      <w:sz w:val="20"/>
                      <w:szCs w:val="20"/>
                    </w:rPr>
                    <w:t>=</w:t>
                  </w:r>
                  <w:r>
                    <w:rPr>
                      <w:rFonts w:ascii="Times New Roman" w:hAnsi="Times New Roman" w:cs="Times New Roman"/>
                      <w:sz w:val="20"/>
                      <w:szCs w:val="20"/>
                    </w:rPr>
                    <w:t xml:space="preserve"> </w:t>
                  </w:r>
                  <w:r w:rsidRPr="008C1A12">
                    <w:rPr>
                      <w:rFonts w:ascii="Times New Roman" w:hAnsi="Times New Roman" w:cs="Times New Roman"/>
                      <w:sz w:val="20"/>
                      <w:szCs w:val="20"/>
                    </w:rPr>
                    <w:t>9).</w:t>
                  </w:r>
                </w:p>
                <w:p w:rsidR="00310CA5" w:rsidRDefault="00310CA5" w:rsidP="006C66E7"/>
              </w:txbxContent>
            </v:textbox>
          </v:shape>
        </w:pict>
      </w:r>
      <w:r>
        <w:rPr>
          <w:rFonts w:asciiTheme="majorBidi" w:hAnsiTheme="majorBidi" w:cstheme="majorBidi"/>
          <w:noProof/>
          <w:lang w:eastAsia="fr-FR"/>
        </w:rPr>
        <w:pict>
          <v:shape id="_x0000_s2156" type="#_x0000_t202" style="position:absolute;margin-left:13.35pt;margin-top:248.65pt;width:415.5pt;height:85.5pt;z-index:251768832" strokecolor="white [3212]">
            <v:textbox>
              <w:txbxContent>
                <w:p w:rsidR="00310CA5" w:rsidRPr="008C1A12" w:rsidRDefault="00310CA5" w:rsidP="006C66E7">
                  <w:pPr>
                    <w:ind w:left="993" w:hanging="993"/>
                    <w:jc w:val="both"/>
                    <w:rPr>
                      <w:rFonts w:ascii="Times New Roman" w:hAnsi="Times New Roman" w:cs="Times New Roman"/>
                      <w:sz w:val="20"/>
                      <w:szCs w:val="20"/>
                    </w:rPr>
                  </w:pPr>
                  <w:r w:rsidRPr="008C1A12">
                    <w:rPr>
                      <w:rFonts w:ascii="Times New Roman" w:hAnsi="Times New Roman" w:cs="Times New Roman"/>
                      <w:b/>
                      <w:bCs/>
                      <w:sz w:val="20"/>
                      <w:szCs w:val="20"/>
                      <w:u w:val="single"/>
                    </w:rPr>
                    <w:t>Figure 16</w:t>
                  </w:r>
                  <w:r w:rsidRPr="008C1A12">
                    <w:rPr>
                      <w:rFonts w:ascii="Times New Roman" w:hAnsi="Times New Roman" w:cs="Times New Roman"/>
                      <w:sz w:val="20"/>
                      <w:szCs w:val="20"/>
                    </w:rPr>
                    <w:t xml:space="preserve"> : Quantité </w:t>
                  </w:r>
                  <w:r w:rsidRPr="008C1A12">
                    <w:rPr>
                      <w:rFonts w:ascii="Times New Roman" w:hAnsi="Times New Roman" w:cs="Times New Roman"/>
                      <w:b/>
                      <w:bCs/>
                      <w:sz w:val="20"/>
                      <w:szCs w:val="20"/>
                    </w:rPr>
                    <w:t>d’EPS</w:t>
                  </w:r>
                  <w:r w:rsidRPr="008C1A12">
                    <w:rPr>
                      <w:rFonts w:ascii="Times New Roman" w:hAnsi="Times New Roman" w:cs="Times New Roman"/>
                      <w:sz w:val="20"/>
                      <w:szCs w:val="20"/>
                    </w:rPr>
                    <w:t xml:space="preserve"> (mg/l) produites par </w:t>
                  </w:r>
                  <w:r w:rsidRPr="008C1A12">
                    <w:rPr>
                      <w:rFonts w:ascii="Times New Roman" w:hAnsi="Times New Roman" w:cs="Times New Roman"/>
                      <w:b/>
                      <w:bCs/>
                      <w:i/>
                      <w:iCs/>
                      <w:sz w:val="20"/>
                      <w:szCs w:val="20"/>
                    </w:rPr>
                    <w:t>Streptococcus thermophilus</w:t>
                  </w:r>
                  <w:r w:rsidRPr="008C1A12">
                    <w:rPr>
                      <w:rFonts w:ascii="Times New Roman" w:hAnsi="Times New Roman" w:cs="Times New Roman"/>
                      <w:sz w:val="20"/>
                      <w:szCs w:val="20"/>
                    </w:rPr>
                    <w:t xml:space="preserve"> en culture pure ou associée à </w:t>
                  </w:r>
                  <w:r w:rsidRPr="008C1A12">
                    <w:rPr>
                      <w:rFonts w:ascii="Times New Roman" w:hAnsi="Times New Roman" w:cs="Times New Roman"/>
                      <w:b/>
                      <w:bCs/>
                      <w:i/>
                      <w:iCs/>
                      <w:sz w:val="20"/>
                      <w:szCs w:val="20"/>
                    </w:rPr>
                    <w:t>Lactobacillus bulgaricus</w:t>
                  </w:r>
                  <w:r w:rsidRPr="008C1A12">
                    <w:rPr>
                      <w:rFonts w:ascii="Times New Roman" w:hAnsi="Times New Roman" w:cs="Times New Roman"/>
                      <w:sz w:val="20"/>
                      <w:szCs w:val="20"/>
                    </w:rPr>
                    <w:t xml:space="preserve"> dans le lait fermenté à 37°C en absence (témoin </w:t>
                  </w:r>
                  <w:r w:rsidRPr="00C44983">
                    <w:rPr>
                      <w:rFonts w:ascii="Times New Roman" w:hAnsi="Times New Roman" w:cs="Times New Roman"/>
                      <w:noProof/>
                      <w:color w:val="0070C0"/>
                      <w:sz w:val="20"/>
                      <w:szCs w:val="20"/>
                      <w:lang w:eastAsia="fr-FR"/>
                    </w:rPr>
                    <w:t>■</w:t>
                  </w:r>
                  <w:r w:rsidRPr="008C1A12">
                    <w:rPr>
                      <w:rFonts w:ascii="Times New Roman" w:hAnsi="Times New Roman" w:cs="Times New Roman"/>
                      <w:sz w:val="20"/>
                      <w:szCs w:val="20"/>
                    </w:rPr>
                    <w:t xml:space="preserve">), ou en présence de 0,53% (P/V) : </w:t>
                  </w:r>
                  <w:r w:rsidRPr="003468B2">
                    <w:rPr>
                      <w:rFonts w:ascii="Times New Roman" w:hAnsi="Times New Roman" w:cs="Times New Roman"/>
                      <w:sz w:val="20"/>
                      <w:szCs w:val="20"/>
                    </w:rPr>
                    <w:t>de lactosérum doux (</w:t>
                  </w:r>
                  <w:r w:rsidRPr="007A6C8B">
                    <w:rPr>
                      <w:rFonts w:ascii="Times New Roman" w:hAnsi="Times New Roman" w:cs="Times New Roman"/>
                      <w:color w:val="FF9900"/>
                      <w:sz w:val="20"/>
                      <w:szCs w:val="20"/>
                    </w:rPr>
                    <w:t>■</w:t>
                  </w:r>
                  <w:r w:rsidRPr="003468B2">
                    <w:rPr>
                      <w:rFonts w:ascii="Times New Roman" w:hAnsi="Times New Roman" w:cs="Times New Roman"/>
                      <w:sz w:val="20"/>
                      <w:szCs w:val="20"/>
                    </w:rPr>
                    <w:t>), de Promilk 852A2 (</w:t>
                  </w:r>
                  <w:r w:rsidRPr="00C44983">
                    <w:rPr>
                      <w:rFonts w:ascii="Times New Roman" w:hAnsi="Times New Roman" w:cs="Times New Roman"/>
                      <w:color w:val="92D050"/>
                      <w:sz w:val="20"/>
                      <w:szCs w:val="20"/>
                    </w:rPr>
                    <w:t>■</w:t>
                  </w:r>
                  <w:r w:rsidRPr="003468B2">
                    <w:rPr>
                      <w:rFonts w:ascii="Times New Roman" w:hAnsi="Times New Roman" w:cs="Times New Roman"/>
                      <w:sz w:val="20"/>
                      <w:szCs w:val="20"/>
                    </w:rPr>
                    <w:t>),</w:t>
                  </w:r>
                  <w:r>
                    <w:rPr>
                      <w:rFonts w:ascii="Times New Roman" w:hAnsi="Times New Roman" w:cs="Times New Roman"/>
                      <w:sz w:val="20"/>
                      <w:szCs w:val="20"/>
                    </w:rPr>
                    <w:t xml:space="preserve"> </w:t>
                  </w:r>
                  <w:r w:rsidRPr="003468B2">
                    <w:rPr>
                      <w:rFonts w:ascii="Times New Roman" w:hAnsi="Times New Roman" w:cs="Times New Roman"/>
                      <w:sz w:val="20"/>
                      <w:szCs w:val="20"/>
                    </w:rPr>
                    <w:t>de Promilk C502 (</w:t>
                  </w:r>
                  <w:r w:rsidRPr="00C44983">
                    <w:rPr>
                      <w:rFonts w:ascii="Times New Roman" w:hAnsi="Times New Roman" w:cs="Times New Roman"/>
                      <w:color w:val="FF33CC"/>
                      <w:sz w:val="20"/>
                      <w:szCs w:val="20"/>
                    </w:rPr>
                    <w:t>■</w:t>
                  </w:r>
                  <w:r w:rsidRPr="003468B2">
                    <w:rPr>
                      <w:rFonts w:ascii="Times New Roman" w:hAnsi="Times New Roman" w:cs="Times New Roman"/>
                      <w:sz w:val="20"/>
                      <w:szCs w:val="20"/>
                    </w:rPr>
                    <w:t>)</w:t>
                  </w:r>
                  <w:r>
                    <w:rPr>
                      <w:rFonts w:ascii="Times New Roman" w:hAnsi="Times New Roman" w:cs="Times New Roman"/>
                      <w:sz w:val="20"/>
                      <w:szCs w:val="20"/>
                    </w:rPr>
                    <w:t xml:space="preserve"> ou </w:t>
                  </w:r>
                  <w:r w:rsidRPr="003468B2">
                    <w:rPr>
                      <w:rFonts w:ascii="Times New Roman" w:hAnsi="Times New Roman" w:cs="Times New Roman"/>
                      <w:sz w:val="20"/>
                      <w:szCs w:val="20"/>
                    </w:rPr>
                    <w:t>d’hydrolysat de caséine (</w:t>
                  </w:r>
                  <w:r w:rsidRPr="00C44983">
                    <w:rPr>
                      <w:rFonts w:ascii="Times New Roman" w:hAnsi="Times New Roman" w:cs="Times New Roman"/>
                      <w:color w:val="990099"/>
                      <w:sz w:val="20"/>
                      <w:szCs w:val="20"/>
                    </w:rPr>
                    <w:t>■</w:t>
                  </w:r>
                  <w:r>
                    <w:rPr>
                      <w:rFonts w:ascii="Times New Roman" w:hAnsi="Times New Roman" w:cs="Times New Roman"/>
                      <w:sz w:val="20"/>
                      <w:szCs w:val="20"/>
                    </w:rPr>
                    <w:t>)</w:t>
                  </w:r>
                  <w:r w:rsidRPr="008C1A12">
                    <w:rPr>
                      <w:rFonts w:ascii="Times New Roman" w:hAnsi="Times New Roman" w:cs="Times New Roman"/>
                      <w:sz w:val="20"/>
                      <w:szCs w:val="20"/>
                    </w:rPr>
                    <w:t>. Dans toutes les cultures mixtes, l’inoculum est à une concentration finale de 10</w:t>
                  </w:r>
                  <w:r>
                    <w:rPr>
                      <w:rFonts w:ascii="Times New Roman" w:hAnsi="Times New Roman" w:cs="Times New Roman"/>
                      <w:sz w:val="20"/>
                      <w:szCs w:val="20"/>
                      <w:vertAlign w:val="superscript"/>
                    </w:rPr>
                    <w:t>6</w:t>
                  </w:r>
                  <w:r w:rsidRPr="008C1A12">
                    <w:rPr>
                      <w:rFonts w:ascii="Times New Roman" w:hAnsi="Times New Roman" w:cs="Times New Roman"/>
                      <w:sz w:val="20"/>
                      <w:szCs w:val="20"/>
                    </w:rPr>
                    <w:t xml:space="preserve"> UFC/ml et utilisé à 1% (1 :1). Les valeurs représentent la moyenne (m) de 9 déterminations ±S</w:t>
                  </w:r>
                  <w:r>
                    <w:rPr>
                      <w:rFonts w:ascii="Times New Roman" w:hAnsi="Times New Roman" w:cs="Times New Roman"/>
                      <w:sz w:val="20"/>
                      <w:szCs w:val="20"/>
                    </w:rPr>
                    <w:t>EM</w:t>
                  </w:r>
                  <w:r w:rsidRPr="008C1A12">
                    <w:rPr>
                      <w:rFonts w:ascii="Times New Roman" w:hAnsi="Times New Roman" w:cs="Times New Roman"/>
                      <w:sz w:val="20"/>
                      <w:szCs w:val="20"/>
                    </w:rPr>
                    <w:t xml:space="preserve"> (n</w:t>
                  </w:r>
                  <w:r>
                    <w:rPr>
                      <w:rFonts w:ascii="Times New Roman" w:hAnsi="Times New Roman" w:cs="Times New Roman"/>
                      <w:sz w:val="20"/>
                      <w:szCs w:val="20"/>
                    </w:rPr>
                    <w:t xml:space="preserve"> </w:t>
                  </w:r>
                  <w:r w:rsidRPr="008C1A12">
                    <w:rPr>
                      <w:rFonts w:ascii="Times New Roman" w:hAnsi="Times New Roman" w:cs="Times New Roman"/>
                      <w:sz w:val="20"/>
                      <w:szCs w:val="20"/>
                    </w:rPr>
                    <w:t>=</w:t>
                  </w:r>
                  <w:r>
                    <w:rPr>
                      <w:rFonts w:ascii="Times New Roman" w:hAnsi="Times New Roman" w:cs="Times New Roman"/>
                      <w:sz w:val="20"/>
                      <w:szCs w:val="20"/>
                    </w:rPr>
                    <w:t xml:space="preserve"> </w:t>
                  </w:r>
                  <w:r w:rsidRPr="008C1A12">
                    <w:rPr>
                      <w:rFonts w:ascii="Times New Roman" w:hAnsi="Times New Roman" w:cs="Times New Roman"/>
                      <w:sz w:val="20"/>
                      <w:szCs w:val="20"/>
                    </w:rPr>
                    <w:t>9).</w:t>
                  </w:r>
                </w:p>
                <w:p w:rsidR="00310CA5" w:rsidRDefault="00310CA5" w:rsidP="006C66E7"/>
              </w:txbxContent>
            </v:textbox>
          </v:shape>
        </w:pict>
      </w:r>
      <w:r>
        <w:rPr>
          <w:rFonts w:asciiTheme="majorBidi" w:hAnsiTheme="majorBidi" w:cstheme="majorBidi"/>
          <w:noProof/>
          <w:lang w:eastAsia="fr-FR"/>
        </w:rPr>
        <w:pict>
          <v:shape id="_x0000_s2157" type="#_x0000_t202" style="position:absolute;margin-left:25.35pt;margin-top:343.15pt;width:395.25pt;height:221.25pt;z-index:251769856" strokecolor="white [3212]">
            <v:textbox>
              <w:txbxContent>
                <w:p w:rsidR="00310CA5" w:rsidRDefault="00310CA5" w:rsidP="006C66E7">
                  <w:pPr>
                    <w:ind w:firstLine="0"/>
                  </w:pPr>
                  <w:r w:rsidRPr="00430E03">
                    <w:rPr>
                      <w:noProof/>
                      <w:lang w:eastAsia="fr-FR"/>
                    </w:rPr>
                    <w:drawing>
                      <wp:inline distT="0" distB="0" distL="0" distR="0">
                        <wp:extent cx="4610100" cy="2543175"/>
                        <wp:effectExtent l="19050" t="0" r="19050" b="0"/>
                        <wp:docPr id="913" name="Graphique 91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8"/>
                          </a:graphicData>
                        </a:graphic>
                      </wp:inline>
                    </w:drawing>
                  </w:r>
                </w:p>
              </w:txbxContent>
            </v:textbox>
          </v:shape>
        </w:pict>
      </w:r>
      <w:r w:rsidR="006C66E7">
        <w:rPr>
          <w:rFonts w:asciiTheme="majorBidi" w:hAnsiTheme="majorBidi" w:cstheme="majorBidi"/>
        </w:rPr>
        <w:br w:type="page"/>
      </w:r>
    </w:p>
    <w:p w:rsidR="006C66E7" w:rsidRDefault="006F133D" w:rsidP="006C66E7">
      <w:pPr>
        <w:spacing w:before="0" w:after="0" w:line="276" w:lineRule="auto"/>
        <w:ind w:firstLine="0"/>
        <w:rPr>
          <w:rFonts w:asciiTheme="majorBidi" w:hAnsiTheme="majorBidi" w:cstheme="majorBidi"/>
        </w:rPr>
      </w:pPr>
      <w:r>
        <w:rPr>
          <w:rFonts w:asciiTheme="majorBidi" w:hAnsiTheme="majorBidi" w:cstheme="majorBidi"/>
          <w:noProof/>
          <w:lang w:eastAsia="fr-FR"/>
        </w:rPr>
        <w:lastRenderedPageBreak/>
        <w:pict>
          <v:shape id="_x0000_s2153" type="#_x0000_t202" style="position:absolute;margin-left:5.85pt;margin-top:-8.15pt;width:432.75pt;height:690.75pt;z-index:251765760">
            <v:textbox>
              <w:txbxContent>
                <w:p w:rsidR="00310CA5" w:rsidRDefault="00310CA5" w:rsidP="006C66E7"/>
              </w:txbxContent>
            </v:textbox>
          </v:shape>
        </w:pict>
      </w:r>
      <w:r>
        <w:rPr>
          <w:rFonts w:asciiTheme="majorBidi" w:hAnsiTheme="majorBidi" w:cstheme="majorBidi"/>
          <w:noProof/>
          <w:lang w:eastAsia="fr-FR"/>
        </w:rPr>
        <w:pict>
          <v:shape id="_x0000_s2162" type="#_x0000_t202" style="position:absolute;margin-left:17.85pt;margin-top:561.1pt;width:407.25pt;height:110.25pt;z-index:251774976" strokecolor="white [3212]">
            <v:textbox>
              <w:txbxContent>
                <w:p w:rsidR="00310CA5" w:rsidRPr="008C1A12" w:rsidRDefault="00310CA5" w:rsidP="006C66E7">
                  <w:pPr>
                    <w:ind w:left="1134" w:hanging="1134"/>
                    <w:jc w:val="both"/>
                    <w:rPr>
                      <w:rFonts w:ascii="Times New Roman" w:hAnsi="Times New Roman" w:cs="Times New Roman"/>
                      <w:sz w:val="20"/>
                      <w:szCs w:val="20"/>
                    </w:rPr>
                  </w:pPr>
                  <w:r w:rsidRPr="008C1A12">
                    <w:rPr>
                      <w:rFonts w:ascii="Times New Roman" w:hAnsi="Times New Roman" w:cs="Times New Roman"/>
                      <w:b/>
                      <w:bCs/>
                      <w:sz w:val="20"/>
                      <w:szCs w:val="20"/>
                      <w:u w:val="single"/>
                    </w:rPr>
                    <w:t>Figure 19</w:t>
                  </w:r>
                  <w:r w:rsidRPr="008C1A12">
                    <w:rPr>
                      <w:rFonts w:ascii="Times New Roman" w:hAnsi="Times New Roman" w:cs="Times New Roman"/>
                      <w:sz w:val="20"/>
                      <w:szCs w:val="20"/>
                    </w:rPr>
                    <w:t xml:space="preserve"> : </w:t>
                  </w:r>
                  <w:r w:rsidRPr="008C1A12">
                    <w:rPr>
                      <w:rFonts w:ascii="Times New Roman" w:hAnsi="Times New Roman" w:cs="Times New Roman"/>
                      <w:b/>
                      <w:bCs/>
                      <w:sz w:val="20"/>
                      <w:szCs w:val="20"/>
                    </w:rPr>
                    <w:t>Viscosité</w:t>
                  </w:r>
                  <w:r w:rsidRPr="008C1A12">
                    <w:rPr>
                      <w:rFonts w:ascii="Times New Roman" w:hAnsi="Times New Roman" w:cs="Times New Roman"/>
                      <w:sz w:val="20"/>
                      <w:szCs w:val="20"/>
                    </w:rPr>
                    <w:t xml:space="preserve"> (m.Pa.s) du lait fermenté à 37°C par la culture mixte de </w:t>
                  </w:r>
                  <w:r w:rsidRPr="008C1A12">
                    <w:rPr>
                      <w:rFonts w:ascii="Times New Roman" w:hAnsi="Times New Roman" w:cs="Times New Roman"/>
                      <w:b/>
                      <w:bCs/>
                      <w:i/>
                      <w:iCs/>
                      <w:sz w:val="20"/>
                      <w:szCs w:val="20"/>
                    </w:rPr>
                    <w:t>Streptococcus thermophilus</w:t>
                  </w:r>
                  <w:r w:rsidRPr="008C1A12">
                    <w:rPr>
                      <w:rFonts w:ascii="Times New Roman" w:hAnsi="Times New Roman" w:cs="Times New Roman"/>
                      <w:sz w:val="20"/>
                      <w:szCs w:val="20"/>
                    </w:rPr>
                    <w:t xml:space="preserve"> et une souche bénéfique </w:t>
                  </w:r>
                  <w:r w:rsidRPr="001F04E7">
                    <w:rPr>
                      <w:rFonts w:ascii="Times New Roman" w:hAnsi="Times New Roman" w:cs="Times New Roman"/>
                      <w:b/>
                      <w:bCs/>
                      <w:sz w:val="20"/>
                      <w:szCs w:val="20"/>
                    </w:rPr>
                    <w:t>BLR</w:t>
                  </w:r>
                  <w:r w:rsidRPr="00DB2968">
                    <w:rPr>
                      <w:rFonts w:ascii="Times New Roman" w:hAnsi="Times New Roman" w:cs="Times New Roman"/>
                      <w:sz w:val="20"/>
                      <w:szCs w:val="20"/>
                    </w:rPr>
                    <w:t xml:space="preserve"> ; </w:t>
                  </w:r>
                  <w:r w:rsidRPr="001F04E7">
                    <w:rPr>
                      <w:rFonts w:ascii="Times New Roman" w:hAnsi="Times New Roman" w:cs="Times New Roman"/>
                      <w:b/>
                      <w:bCs/>
                      <w:sz w:val="20"/>
                      <w:szCs w:val="20"/>
                    </w:rPr>
                    <w:t>LbRE-LSAS</w:t>
                  </w:r>
                  <w:r>
                    <w:rPr>
                      <w:rFonts w:ascii="Times New Roman" w:hAnsi="Times New Roman" w:cs="Times New Roman"/>
                      <w:sz w:val="20"/>
                      <w:szCs w:val="20"/>
                    </w:rPr>
                    <w:t> ;</w:t>
                  </w:r>
                  <w:r w:rsidRPr="00DB2968">
                    <w:rPr>
                      <w:rFonts w:ascii="Times New Roman" w:hAnsi="Times New Roman" w:cs="Times New Roman"/>
                      <w:sz w:val="20"/>
                      <w:szCs w:val="20"/>
                    </w:rPr>
                    <w:t xml:space="preserve"> </w:t>
                  </w:r>
                  <w:r w:rsidRPr="001F04E7">
                    <w:rPr>
                      <w:rFonts w:ascii="Times New Roman" w:hAnsi="Times New Roman" w:cs="Times New Roman"/>
                      <w:b/>
                      <w:bCs/>
                      <w:sz w:val="20"/>
                      <w:szCs w:val="20"/>
                    </w:rPr>
                    <w:t>Bb12</w:t>
                  </w:r>
                  <w:r w:rsidRPr="00DB2968">
                    <w:rPr>
                      <w:rFonts w:ascii="Times New Roman" w:hAnsi="Times New Roman" w:cs="Times New Roman"/>
                      <w:sz w:val="20"/>
                      <w:szCs w:val="20"/>
                    </w:rPr>
                    <w:t xml:space="preserve"> ; </w:t>
                  </w:r>
                  <w:r w:rsidRPr="001F04E7">
                    <w:rPr>
                      <w:rFonts w:ascii="Times New Roman" w:hAnsi="Times New Roman" w:cs="Times New Roman"/>
                      <w:b/>
                      <w:bCs/>
                      <w:sz w:val="20"/>
                      <w:szCs w:val="20"/>
                    </w:rPr>
                    <w:t>Lba</w:t>
                  </w:r>
                  <w:r>
                    <w:rPr>
                      <w:rFonts w:ascii="Times New Roman" w:hAnsi="Times New Roman" w:cs="Times New Roman"/>
                      <w:b/>
                      <w:bCs/>
                      <w:sz w:val="20"/>
                      <w:szCs w:val="20"/>
                    </w:rPr>
                    <w:t xml:space="preserve"> </w:t>
                  </w:r>
                  <w:r w:rsidRPr="001F04E7">
                    <w:rPr>
                      <w:rFonts w:ascii="Times New Roman" w:hAnsi="Times New Roman" w:cs="Times New Roman"/>
                      <w:b/>
                      <w:bCs/>
                      <w:sz w:val="20"/>
                      <w:szCs w:val="20"/>
                    </w:rPr>
                    <w:t>CECT4529</w:t>
                  </w:r>
                  <w:r w:rsidRPr="00DB2968">
                    <w:rPr>
                      <w:rFonts w:ascii="Times New Roman" w:hAnsi="Times New Roman" w:cs="Times New Roman"/>
                      <w:sz w:val="20"/>
                      <w:szCs w:val="20"/>
                    </w:rPr>
                    <w:t xml:space="preserve"> </w:t>
                  </w:r>
                  <w:r>
                    <w:rPr>
                      <w:rFonts w:ascii="Times New Roman" w:hAnsi="Times New Roman" w:cs="Times New Roman"/>
                      <w:sz w:val="20"/>
                      <w:szCs w:val="20"/>
                    </w:rPr>
                    <w:t>ou</w:t>
                  </w:r>
                  <w:r w:rsidRPr="00DB2968">
                    <w:rPr>
                      <w:rFonts w:ascii="Times New Roman" w:hAnsi="Times New Roman" w:cs="Times New Roman"/>
                      <w:sz w:val="20"/>
                      <w:szCs w:val="20"/>
                    </w:rPr>
                    <w:t xml:space="preserve"> </w:t>
                  </w:r>
                  <w:r w:rsidRPr="001F04E7">
                    <w:rPr>
                      <w:rFonts w:ascii="Times New Roman" w:hAnsi="Times New Roman" w:cs="Times New Roman"/>
                      <w:b/>
                      <w:bCs/>
                      <w:sz w:val="20"/>
                      <w:szCs w:val="20"/>
                    </w:rPr>
                    <w:t>Lbp</w:t>
                  </w:r>
                  <w:r>
                    <w:rPr>
                      <w:rFonts w:ascii="Times New Roman" w:hAnsi="Times New Roman" w:cs="Times New Roman"/>
                      <w:b/>
                      <w:bCs/>
                      <w:sz w:val="20"/>
                      <w:szCs w:val="20"/>
                    </w:rPr>
                    <w:t xml:space="preserve"> </w:t>
                  </w:r>
                  <w:r w:rsidRPr="001F04E7">
                    <w:rPr>
                      <w:rFonts w:ascii="Times New Roman" w:hAnsi="Times New Roman" w:cs="Times New Roman"/>
                      <w:b/>
                      <w:bCs/>
                      <w:sz w:val="20"/>
                      <w:szCs w:val="20"/>
                    </w:rPr>
                    <w:t>CECT748</w:t>
                  </w:r>
                  <w:r>
                    <w:rPr>
                      <w:rFonts w:ascii="Times New Roman" w:hAnsi="Times New Roman" w:cs="Times New Roman"/>
                      <w:b/>
                      <w:bCs/>
                      <w:sz w:val="20"/>
                      <w:szCs w:val="20"/>
                    </w:rPr>
                    <w:t xml:space="preserve"> </w:t>
                  </w:r>
                  <w:r w:rsidRPr="008C1A12">
                    <w:rPr>
                      <w:rFonts w:ascii="Times New Roman" w:hAnsi="Times New Roman" w:cs="Times New Roman"/>
                      <w:sz w:val="20"/>
                      <w:szCs w:val="20"/>
                    </w:rPr>
                    <w:t>dans le lait fermenté à 37°C en absence  (témoin</w:t>
                  </w:r>
                  <w:r>
                    <w:rPr>
                      <w:rFonts w:ascii="Times New Roman" w:hAnsi="Times New Roman" w:cs="Times New Roman"/>
                      <w:noProof/>
                      <w:sz w:val="20"/>
                      <w:szCs w:val="20"/>
                      <w:lang w:eastAsia="fr-FR"/>
                    </w:rPr>
                    <w:t xml:space="preserve"> </w:t>
                  </w:r>
                  <w:r w:rsidRPr="00C44983">
                    <w:rPr>
                      <w:rFonts w:ascii="Times New Roman" w:hAnsi="Times New Roman" w:cs="Times New Roman"/>
                      <w:noProof/>
                      <w:color w:val="0070C0"/>
                      <w:sz w:val="20"/>
                      <w:szCs w:val="20"/>
                      <w:lang w:eastAsia="fr-FR"/>
                    </w:rPr>
                    <w:t>■</w:t>
                  </w:r>
                  <w:r w:rsidRPr="008C1A12">
                    <w:rPr>
                      <w:rFonts w:ascii="Times New Roman" w:hAnsi="Times New Roman" w:cs="Times New Roman"/>
                      <w:sz w:val="20"/>
                      <w:szCs w:val="20"/>
                    </w:rPr>
                    <w:t xml:space="preserve">), ou en présence 0,53% (P/V) : </w:t>
                  </w:r>
                  <w:r w:rsidRPr="003468B2">
                    <w:rPr>
                      <w:rFonts w:ascii="Times New Roman" w:hAnsi="Times New Roman" w:cs="Times New Roman"/>
                      <w:sz w:val="20"/>
                      <w:szCs w:val="20"/>
                    </w:rPr>
                    <w:t>de lactosérum doux (</w:t>
                  </w:r>
                  <w:r w:rsidRPr="007A6C8B">
                    <w:rPr>
                      <w:rFonts w:ascii="Times New Roman" w:hAnsi="Times New Roman" w:cs="Times New Roman"/>
                      <w:color w:val="FF9900"/>
                      <w:sz w:val="20"/>
                      <w:szCs w:val="20"/>
                    </w:rPr>
                    <w:t>■</w:t>
                  </w:r>
                  <w:r w:rsidRPr="003468B2">
                    <w:rPr>
                      <w:rFonts w:ascii="Times New Roman" w:hAnsi="Times New Roman" w:cs="Times New Roman"/>
                      <w:sz w:val="20"/>
                      <w:szCs w:val="20"/>
                    </w:rPr>
                    <w:t>), de Promilk 852A2 (</w:t>
                  </w:r>
                  <w:r w:rsidRPr="00C44983">
                    <w:rPr>
                      <w:rFonts w:ascii="Times New Roman" w:hAnsi="Times New Roman" w:cs="Times New Roman"/>
                      <w:color w:val="92D050"/>
                      <w:sz w:val="20"/>
                      <w:szCs w:val="20"/>
                    </w:rPr>
                    <w:t>■</w:t>
                  </w:r>
                  <w:r w:rsidRPr="003468B2">
                    <w:rPr>
                      <w:rFonts w:ascii="Times New Roman" w:hAnsi="Times New Roman" w:cs="Times New Roman"/>
                      <w:sz w:val="20"/>
                      <w:szCs w:val="20"/>
                    </w:rPr>
                    <w:t>),</w:t>
                  </w:r>
                  <w:r>
                    <w:rPr>
                      <w:rFonts w:ascii="Times New Roman" w:hAnsi="Times New Roman" w:cs="Times New Roman"/>
                      <w:sz w:val="20"/>
                      <w:szCs w:val="20"/>
                    </w:rPr>
                    <w:t xml:space="preserve"> </w:t>
                  </w:r>
                  <w:r w:rsidRPr="003468B2">
                    <w:rPr>
                      <w:rFonts w:ascii="Times New Roman" w:hAnsi="Times New Roman" w:cs="Times New Roman"/>
                      <w:sz w:val="20"/>
                      <w:szCs w:val="20"/>
                    </w:rPr>
                    <w:t>de Promilk C502 (</w:t>
                  </w:r>
                  <w:r w:rsidRPr="00C44983">
                    <w:rPr>
                      <w:rFonts w:ascii="Times New Roman" w:hAnsi="Times New Roman" w:cs="Times New Roman"/>
                      <w:color w:val="FF33CC"/>
                      <w:sz w:val="20"/>
                      <w:szCs w:val="20"/>
                    </w:rPr>
                    <w:t>■</w:t>
                  </w:r>
                  <w:r w:rsidRPr="003468B2">
                    <w:rPr>
                      <w:rFonts w:ascii="Times New Roman" w:hAnsi="Times New Roman" w:cs="Times New Roman"/>
                      <w:sz w:val="20"/>
                      <w:szCs w:val="20"/>
                    </w:rPr>
                    <w:t>)</w:t>
                  </w:r>
                  <w:r>
                    <w:rPr>
                      <w:rFonts w:ascii="Times New Roman" w:hAnsi="Times New Roman" w:cs="Times New Roman"/>
                      <w:sz w:val="20"/>
                      <w:szCs w:val="20"/>
                    </w:rPr>
                    <w:t xml:space="preserve"> ou </w:t>
                  </w:r>
                  <w:r w:rsidRPr="003468B2">
                    <w:rPr>
                      <w:rFonts w:ascii="Times New Roman" w:hAnsi="Times New Roman" w:cs="Times New Roman"/>
                      <w:sz w:val="20"/>
                      <w:szCs w:val="20"/>
                    </w:rPr>
                    <w:t>d’hydrolysat de caséine (</w:t>
                  </w:r>
                  <w:r w:rsidRPr="00C44983">
                    <w:rPr>
                      <w:rFonts w:ascii="Times New Roman" w:hAnsi="Times New Roman" w:cs="Times New Roman"/>
                      <w:color w:val="990099"/>
                      <w:sz w:val="20"/>
                      <w:szCs w:val="20"/>
                    </w:rPr>
                    <w:t>■</w:t>
                  </w:r>
                  <w:r>
                    <w:rPr>
                      <w:rFonts w:ascii="Times New Roman" w:hAnsi="Times New Roman" w:cs="Times New Roman"/>
                      <w:sz w:val="20"/>
                      <w:szCs w:val="20"/>
                    </w:rPr>
                    <w:t>)</w:t>
                  </w:r>
                  <w:r w:rsidRPr="008C1A12">
                    <w:rPr>
                      <w:rFonts w:ascii="Times New Roman" w:hAnsi="Times New Roman" w:cs="Times New Roman"/>
                      <w:sz w:val="20"/>
                      <w:szCs w:val="20"/>
                    </w:rPr>
                    <w:t xml:space="preserve">. Dans toutes les cultures mixtes, l’inoculum est à une concentration finale de </w:t>
                  </w:r>
                  <w:r>
                    <w:rPr>
                      <w:rFonts w:ascii="Times New Roman" w:hAnsi="Times New Roman" w:cs="Times New Roman"/>
                      <w:sz w:val="20"/>
                      <w:szCs w:val="20"/>
                    </w:rPr>
                    <w:t>10</w:t>
                  </w:r>
                  <w:r w:rsidRPr="00B127A7">
                    <w:rPr>
                      <w:rFonts w:ascii="Times New Roman" w:hAnsi="Times New Roman" w:cs="Times New Roman"/>
                      <w:sz w:val="20"/>
                      <w:szCs w:val="20"/>
                      <w:vertAlign w:val="superscript"/>
                    </w:rPr>
                    <w:t>6</w:t>
                  </w:r>
                  <w:r>
                    <w:rPr>
                      <w:rFonts w:ascii="Times New Roman" w:hAnsi="Times New Roman" w:cs="Times New Roman"/>
                      <w:sz w:val="20"/>
                      <w:szCs w:val="20"/>
                    </w:rPr>
                    <w:t xml:space="preserve"> (pour les bactéries lactiques) et </w:t>
                  </w:r>
                  <w:r w:rsidRPr="008C1A12">
                    <w:rPr>
                      <w:rFonts w:ascii="Times New Roman" w:hAnsi="Times New Roman" w:cs="Times New Roman"/>
                      <w:sz w:val="20"/>
                      <w:szCs w:val="20"/>
                    </w:rPr>
                    <w:t>10</w:t>
                  </w:r>
                  <w:r w:rsidRPr="008C1A12">
                    <w:rPr>
                      <w:rFonts w:ascii="Times New Roman" w:hAnsi="Times New Roman" w:cs="Times New Roman"/>
                      <w:sz w:val="20"/>
                      <w:szCs w:val="20"/>
                      <w:vertAlign w:val="superscript"/>
                    </w:rPr>
                    <w:t>7</w:t>
                  </w:r>
                  <w:r w:rsidRPr="008C1A12">
                    <w:rPr>
                      <w:rFonts w:ascii="Times New Roman" w:hAnsi="Times New Roman" w:cs="Times New Roman"/>
                      <w:sz w:val="20"/>
                      <w:szCs w:val="20"/>
                    </w:rPr>
                    <w:t xml:space="preserve"> </w:t>
                  </w:r>
                  <w:r>
                    <w:rPr>
                      <w:rFonts w:ascii="Times New Roman" w:hAnsi="Times New Roman" w:cs="Times New Roman"/>
                      <w:sz w:val="20"/>
                      <w:szCs w:val="20"/>
                    </w:rPr>
                    <w:t xml:space="preserve">(pour les souches probiotiques) </w:t>
                  </w:r>
                  <w:r w:rsidRPr="008C1A12">
                    <w:rPr>
                      <w:rFonts w:ascii="Times New Roman" w:hAnsi="Times New Roman" w:cs="Times New Roman"/>
                      <w:sz w:val="20"/>
                      <w:szCs w:val="20"/>
                    </w:rPr>
                    <w:t>UFC/ml et utilisé à 1% (1 :1). Les valeurs représentent la moyenne (m) de 9 déterminations ±S</w:t>
                  </w:r>
                  <w:r>
                    <w:rPr>
                      <w:rFonts w:ascii="Times New Roman" w:hAnsi="Times New Roman" w:cs="Times New Roman"/>
                      <w:sz w:val="20"/>
                      <w:szCs w:val="20"/>
                    </w:rPr>
                    <w:t>EM</w:t>
                  </w:r>
                  <w:r w:rsidRPr="008C1A12">
                    <w:rPr>
                      <w:rFonts w:ascii="Times New Roman" w:hAnsi="Times New Roman" w:cs="Times New Roman"/>
                      <w:sz w:val="20"/>
                      <w:szCs w:val="20"/>
                    </w:rPr>
                    <w:t xml:space="preserve"> (n</w:t>
                  </w:r>
                  <w:r>
                    <w:rPr>
                      <w:rFonts w:ascii="Times New Roman" w:hAnsi="Times New Roman" w:cs="Times New Roman"/>
                      <w:sz w:val="20"/>
                      <w:szCs w:val="20"/>
                    </w:rPr>
                    <w:t xml:space="preserve"> </w:t>
                  </w:r>
                  <w:r w:rsidRPr="008C1A12">
                    <w:rPr>
                      <w:rFonts w:ascii="Times New Roman" w:hAnsi="Times New Roman" w:cs="Times New Roman"/>
                      <w:sz w:val="20"/>
                      <w:szCs w:val="20"/>
                    </w:rPr>
                    <w:t>=</w:t>
                  </w:r>
                  <w:r>
                    <w:rPr>
                      <w:rFonts w:ascii="Times New Roman" w:hAnsi="Times New Roman" w:cs="Times New Roman"/>
                      <w:sz w:val="20"/>
                      <w:szCs w:val="20"/>
                    </w:rPr>
                    <w:t xml:space="preserve"> </w:t>
                  </w:r>
                  <w:r w:rsidRPr="008C1A12">
                    <w:rPr>
                      <w:rFonts w:ascii="Times New Roman" w:hAnsi="Times New Roman" w:cs="Times New Roman"/>
                      <w:sz w:val="20"/>
                      <w:szCs w:val="20"/>
                    </w:rPr>
                    <w:t>9).</w:t>
                  </w:r>
                </w:p>
                <w:p w:rsidR="00310CA5" w:rsidRDefault="00310CA5" w:rsidP="006C66E7"/>
              </w:txbxContent>
            </v:textbox>
          </v:shape>
        </w:pict>
      </w:r>
      <w:r>
        <w:rPr>
          <w:rFonts w:asciiTheme="majorBidi" w:hAnsiTheme="majorBidi" w:cstheme="majorBidi"/>
          <w:noProof/>
          <w:lang w:eastAsia="fr-FR"/>
        </w:rPr>
        <w:pict>
          <v:shape id="_x0000_s2159" type="#_x0000_t202" style="position:absolute;margin-left:28.35pt;margin-top:2.35pt;width:392.25pt;height:215.25pt;z-index:251771904" strokecolor="white [3212]">
            <v:textbox>
              <w:txbxContent>
                <w:p w:rsidR="00310CA5" w:rsidRDefault="00310CA5" w:rsidP="006C66E7">
                  <w:pPr>
                    <w:ind w:firstLine="0"/>
                  </w:pPr>
                  <w:r w:rsidRPr="00430E03">
                    <w:rPr>
                      <w:noProof/>
                      <w:lang w:eastAsia="fr-FR"/>
                    </w:rPr>
                    <w:drawing>
                      <wp:inline distT="0" distB="0" distL="0" distR="0">
                        <wp:extent cx="4789170" cy="2447925"/>
                        <wp:effectExtent l="19050" t="0" r="11430" b="0"/>
                        <wp:docPr id="914" name="Graphique 914"/>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79"/>
                          </a:graphicData>
                        </a:graphic>
                      </wp:inline>
                    </w:drawing>
                  </w:r>
                </w:p>
              </w:txbxContent>
            </v:textbox>
          </v:shape>
        </w:pict>
      </w:r>
      <w:r>
        <w:rPr>
          <w:rFonts w:asciiTheme="majorBidi" w:hAnsiTheme="majorBidi" w:cstheme="majorBidi"/>
          <w:noProof/>
          <w:lang w:eastAsia="fr-FR"/>
        </w:rPr>
        <w:pict>
          <v:shape id="_x0000_s2160" type="#_x0000_t202" style="position:absolute;margin-left:17.85pt;margin-top:225.1pt;width:411.75pt;height:109.5pt;z-index:251772928" strokecolor="white [3212]">
            <v:textbox>
              <w:txbxContent>
                <w:p w:rsidR="00310CA5" w:rsidRPr="008C1A12" w:rsidRDefault="00310CA5" w:rsidP="006C66E7">
                  <w:pPr>
                    <w:ind w:left="1134" w:hanging="1134"/>
                    <w:jc w:val="both"/>
                    <w:rPr>
                      <w:rFonts w:ascii="Times New Roman" w:hAnsi="Times New Roman" w:cs="Times New Roman"/>
                      <w:sz w:val="20"/>
                      <w:szCs w:val="20"/>
                    </w:rPr>
                  </w:pPr>
                  <w:r w:rsidRPr="008C1A12">
                    <w:rPr>
                      <w:rFonts w:ascii="Times New Roman" w:hAnsi="Times New Roman" w:cs="Times New Roman"/>
                      <w:b/>
                      <w:bCs/>
                      <w:sz w:val="20"/>
                      <w:szCs w:val="20"/>
                      <w:u w:val="single"/>
                    </w:rPr>
                    <w:t>Figure 18</w:t>
                  </w:r>
                  <w:r w:rsidRPr="008C1A12">
                    <w:rPr>
                      <w:rFonts w:ascii="Times New Roman" w:hAnsi="Times New Roman" w:cs="Times New Roman"/>
                      <w:sz w:val="20"/>
                      <w:szCs w:val="20"/>
                    </w:rPr>
                    <w:t xml:space="preserve"> : Quantité </w:t>
                  </w:r>
                  <w:r w:rsidRPr="008C1A12">
                    <w:rPr>
                      <w:rFonts w:ascii="Times New Roman" w:hAnsi="Times New Roman" w:cs="Times New Roman"/>
                      <w:b/>
                      <w:bCs/>
                      <w:sz w:val="20"/>
                      <w:szCs w:val="20"/>
                    </w:rPr>
                    <w:t>d’EPS</w:t>
                  </w:r>
                  <w:r w:rsidRPr="008C1A12">
                    <w:rPr>
                      <w:rFonts w:ascii="Times New Roman" w:hAnsi="Times New Roman" w:cs="Times New Roman"/>
                      <w:sz w:val="20"/>
                      <w:szCs w:val="20"/>
                    </w:rPr>
                    <w:t xml:space="preserve"> (mg/l) produites par la culture mixte de </w:t>
                  </w:r>
                  <w:r w:rsidRPr="008C1A12">
                    <w:rPr>
                      <w:rFonts w:ascii="Times New Roman" w:hAnsi="Times New Roman" w:cs="Times New Roman"/>
                      <w:b/>
                      <w:bCs/>
                      <w:i/>
                      <w:iCs/>
                      <w:sz w:val="20"/>
                      <w:szCs w:val="20"/>
                    </w:rPr>
                    <w:t>Streptococcus thermophilus</w:t>
                  </w:r>
                  <w:r w:rsidRPr="008C1A12">
                    <w:rPr>
                      <w:rFonts w:ascii="Times New Roman" w:hAnsi="Times New Roman" w:cs="Times New Roman"/>
                      <w:sz w:val="20"/>
                      <w:szCs w:val="20"/>
                    </w:rPr>
                    <w:t xml:space="preserve"> et une souche bénéfique </w:t>
                  </w:r>
                  <w:r w:rsidRPr="001F04E7">
                    <w:rPr>
                      <w:rFonts w:ascii="Times New Roman" w:hAnsi="Times New Roman" w:cs="Times New Roman"/>
                      <w:b/>
                      <w:bCs/>
                      <w:sz w:val="20"/>
                      <w:szCs w:val="20"/>
                    </w:rPr>
                    <w:t>BLR</w:t>
                  </w:r>
                  <w:r w:rsidRPr="00DB2968">
                    <w:rPr>
                      <w:rFonts w:ascii="Times New Roman" w:hAnsi="Times New Roman" w:cs="Times New Roman"/>
                      <w:sz w:val="20"/>
                      <w:szCs w:val="20"/>
                    </w:rPr>
                    <w:t xml:space="preserve"> ; </w:t>
                  </w:r>
                  <w:r w:rsidRPr="001F04E7">
                    <w:rPr>
                      <w:rFonts w:ascii="Times New Roman" w:hAnsi="Times New Roman" w:cs="Times New Roman"/>
                      <w:b/>
                      <w:bCs/>
                      <w:sz w:val="20"/>
                      <w:szCs w:val="20"/>
                    </w:rPr>
                    <w:t>LbRE-LSAS</w:t>
                  </w:r>
                  <w:r>
                    <w:rPr>
                      <w:rFonts w:ascii="Times New Roman" w:hAnsi="Times New Roman" w:cs="Times New Roman"/>
                      <w:sz w:val="20"/>
                      <w:szCs w:val="20"/>
                    </w:rPr>
                    <w:t> ;</w:t>
                  </w:r>
                  <w:r w:rsidRPr="00DB2968">
                    <w:rPr>
                      <w:rFonts w:ascii="Times New Roman" w:hAnsi="Times New Roman" w:cs="Times New Roman"/>
                      <w:sz w:val="20"/>
                      <w:szCs w:val="20"/>
                    </w:rPr>
                    <w:t xml:space="preserve"> </w:t>
                  </w:r>
                  <w:r w:rsidRPr="001F04E7">
                    <w:rPr>
                      <w:rFonts w:ascii="Times New Roman" w:hAnsi="Times New Roman" w:cs="Times New Roman"/>
                      <w:b/>
                      <w:bCs/>
                      <w:sz w:val="20"/>
                      <w:szCs w:val="20"/>
                    </w:rPr>
                    <w:t>Bb12</w:t>
                  </w:r>
                  <w:r w:rsidRPr="00DB2968">
                    <w:rPr>
                      <w:rFonts w:ascii="Times New Roman" w:hAnsi="Times New Roman" w:cs="Times New Roman"/>
                      <w:sz w:val="20"/>
                      <w:szCs w:val="20"/>
                    </w:rPr>
                    <w:t xml:space="preserve"> ; </w:t>
                  </w:r>
                  <w:r w:rsidRPr="001F04E7">
                    <w:rPr>
                      <w:rFonts w:ascii="Times New Roman" w:hAnsi="Times New Roman" w:cs="Times New Roman"/>
                      <w:b/>
                      <w:bCs/>
                      <w:sz w:val="20"/>
                      <w:szCs w:val="20"/>
                    </w:rPr>
                    <w:t>Lba</w:t>
                  </w:r>
                  <w:r>
                    <w:rPr>
                      <w:rFonts w:ascii="Times New Roman" w:hAnsi="Times New Roman" w:cs="Times New Roman"/>
                      <w:b/>
                      <w:bCs/>
                      <w:sz w:val="20"/>
                      <w:szCs w:val="20"/>
                    </w:rPr>
                    <w:t xml:space="preserve"> </w:t>
                  </w:r>
                  <w:r w:rsidRPr="001F04E7">
                    <w:rPr>
                      <w:rFonts w:ascii="Times New Roman" w:hAnsi="Times New Roman" w:cs="Times New Roman"/>
                      <w:b/>
                      <w:bCs/>
                      <w:sz w:val="20"/>
                      <w:szCs w:val="20"/>
                    </w:rPr>
                    <w:t>CECT4529</w:t>
                  </w:r>
                  <w:r w:rsidRPr="00DB2968">
                    <w:rPr>
                      <w:rFonts w:ascii="Times New Roman" w:hAnsi="Times New Roman" w:cs="Times New Roman"/>
                      <w:sz w:val="20"/>
                      <w:szCs w:val="20"/>
                    </w:rPr>
                    <w:t xml:space="preserve"> </w:t>
                  </w:r>
                  <w:r>
                    <w:rPr>
                      <w:rFonts w:ascii="Times New Roman" w:hAnsi="Times New Roman" w:cs="Times New Roman"/>
                      <w:sz w:val="20"/>
                      <w:szCs w:val="20"/>
                    </w:rPr>
                    <w:t>ou</w:t>
                  </w:r>
                  <w:r w:rsidRPr="00DB2968">
                    <w:rPr>
                      <w:rFonts w:ascii="Times New Roman" w:hAnsi="Times New Roman" w:cs="Times New Roman"/>
                      <w:sz w:val="20"/>
                      <w:szCs w:val="20"/>
                    </w:rPr>
                    <w:t xml:space="preserve"> </w:t>
                  </w:r>
                  <w:r w:rsidRPr="001F04E7">
                    <w:rPr>
                      <w:rFonts w:ascii="Times New Roman" w:hAnsi="Times New Roman" w:cs="Times New Roman"/>
                      <w:b/>
                      <w:bCs/>
                      <w:sz w:val="20"/>
                      <w:szCs w:val="20"/>
                    </w:rPr>
                    <w:t>Lbp</w:t>
                  </w:r>
                  <w:r>
                    <w:rPr>
                      <w:rFonts w:ascii="Times New Roman" w:hAnsi="Times New Roman" w:cs="Times New Roman"/>
                      <w:b/>
                      <w:bCs/>
                      <w:sz w:val="20"/>
                      <w:szCs w:val="20"/>
                    </w:rPr>
                    <w:t xml:space="preserve"> </w:t>
                  </w:r>
                  <w:r w:rsidRPr="001F04E7">
                    <w:rPr>
                      <w:rFonts w:ascii="Times New Roman" w:hAnsi="Times New Roman" w:cs="Times New Roman"/>
                      <w:b/>
                      <w:bCs/>
                      <w:sz w:val="20"/>
                      <w:szCs w:val="20"/>
                    </w:rPr>
                    <w:t>CECT748</w:t>
                  </w:r>
                  <w:r>
                    <w:rPr>
                      <w:rFonts w:ascii="Times New Roman" w:hAnsi="Times New Roman" w:cs="Times New Roman"/>
                      <w:b/>
                      <w:bCs/>
                      <w:sz w:val="20"/>
                      <w:szCs w:val="20"/>
                    </w:rPr>
                    <w:t xml:space="preserve"> </w:t>
                  </w:r>
                  <w:r w:rsidRPr="008C1A12">
                    <w:rPr>
                      <w:rFonts w:ascii="Times New Roman" w:hAnsi="Times New Roman" w:cs="Times New Roman"/>
                      <w:sz w:val="20"/>
                      <w:szCs w:val="20"/>
                    </w:rPr>
                    <w:t>dans le lait fermenté à 37°C en absence  (témoin</w:t>
                  </w:r>
                  <w:r>
                    <w:rPr>
                      <w:rFonts w:ascii="Times New Roman" w:hAnsi="Times New Roman" w:cs="Times New Roman"/>
                      <w:noProof/>
                      <w:sz w:val="20"/>
                      <w:szCs w:val="20"/>
                      <w:lang w:eastAsia="fr-FR"/>
                    </w:rPr>
                    <w:t xml:space="preserve"> </w:t>
                  </w:r>
                  <w:r w:rsidRPr="00C44983">
                    <w:rPr>
                      <w:rFonts w:ascii="Times New Roman" w:hAnsi="Times New Roman" w:cs="Times New Roman"/>
                      <w:noProof/>
                      <w:color w:val="0070C0"/>
                      <w:sz w:val="20"/>
                      <w:szCs w:val="20"/>
                      <w:lang w:eastAsia="fr-FR"/>
                    </w:rPr>
                    <w:t>■</w:t>
                  </w:r>
                  <w:r w:rsidRPr="008C1A12">
                    <w:rPr>
                      <w:rFonts w:ascii="Times New Roman" w:hAnsi="Times New Roman" w:cs="Times New Roman"/>
                      <w:sz w:val="20"/>
                      <w:szCs w:val="20"/>
                    </w:rPr>
                    <w:t xml:space="preserve">), ou en présence </w:t>
                  </w:r>
                  <w:r>
                    <w:rPr>
                      <w:rFonts w:ascii="Times New Roman" w:hAnsi="Times New Roman" w:cs="Times New Roman"/>
                      <w:sz w:val="20"/>
                      <w:szCs w:val="20"/>
                    </w:rPr>
                    <w:t xml:space="preserve">de </w:t>
                  </w:r>
                  <w:r w:rsidRPr="008C1A12">
                    <w:rPr>
                      <w:rFonts w:ascii="Times New Roman" w:hAnsi="Times New Roman" w:cs="Times New Roman"/>
                      <w:sz w:val="20"/>
                      <w:szCs w:val="20"/>
                    </w:rPr>
                    <w:t xml:space="preserve">0,53% (P/V) : </w:t>
                  </w:r>
                  <w:r w:rsidRPr="003468B2">
                    <w:rPr>
                      <w:rFonts w:ascii="Times New Roman" w:hAnsi="Times New Roman" w:cs="Times New Roman"/>
                      <w:sz w:val="20"/>
                      <w:szCs w:val="20"/>
                    </w:rPr>
                    <w:t>de lactosérum doux (</w:t>
                  </w:r>
                  <w:r w:rsidRPr="007A6C8B">
                    <w:rPr>
                      <w:rFonts w:ascii="Times New Roman" w:hAnsi="Times New Roman" w:cs="Times New Roman"/>
                      <w:color w:val="FF9900"/>
                      <w:sz w:val="20"/>
                      <w:szCs w:val="20"/>
                    </w:rPr>
                    <w:t>■</w:t>
                  </w:r>
                  <w:r w:rsidRPr="003468B2">
                    <w:rPr>
                      <w:rFonts w:ascii="Times New Roman" w:hAnsi="Times New Roman" w:cs="Times New Roman"/>
                      <w:sz w:val="20"/>
                      <w:szCs w:val="20"/>
                    </w:rPr>
                    <w:t>), de Promilk 852A2 (</w:t>
                  </w:r>
                  <w:r w:rsidRPr="00C44983">
                    <w:rPr>
                      <w:rFonts w:ascii="Times New Roman" w:hAnsi="Times New Roman" w:cs="Times New Roman"/>
                      <w:color w:val="92D050"/>
                      <w:sz w:val="20"/>
                      <w:szCs w:val="20"/>
                    </w:rPr>
                    <w:t>■</w:t>
                  </w:r>
                  <w:r w:rsidRPr="003468B2">
                    <w:rPr>
                      <w:rFonts w:ascii="Times New Roman" w:hAnsi="Times New Roman" w:cs="Times New Roman"/>
                      <w:sz w:val="20"/>
                      <w:szCs w:val="20"/>
                    </w:rPr>
                    <w:t>),</w:t>
                  </w:r>
                  <w:r>
                    <w:rPr>
                      <w:rFonts w:ascii="Times New Roman" w:hAnsi="Times New Roman" w:cs="Times New Roman"/>
                      <w:sz w:val="20"/>
                      <w:szCs w:val="20"/>
                    </w:rPr>
                    <w:t xml:space="preserve"> </w:t>
                  </w:r>
                  <w:r w:rsidRPr="003468B2">
                    <w:rPr>
                      <w:rFonts w:ascii="Times New Roman" w:hAnsi="Times New Roman" w:cs="Times New Roman"/>
                      <w:sz w:val="20"/>
                      <w:szCs w:val="20"/>
                    </w:rPr>
                    <w:t>de Promilk C502 (</w:t>
                  </w:r>
                  <w:r w:rsidRPr="00C44983">
                    <w:rPr>
                      <w:rFonts w:ascii="Times New Roman" w:hAnsi="Times New Roman" w:cs="Times New Roman"/>
                      <w:color w:val="FF33CC"/>
                      <w:sz w:val="20"/>
                      <w:szCs w:val="20"/>
                    </w:rPr>
                    <w:t>■</w:t>
                  </w:r>
                  <w:r w:rsidRPr="003468B2">
                    <w:rPr>
                      <w:rFonts w:ascii="Times New Roman" w:hAnsi="Times New Roman" w:cs="Times New Roman"/>
                      <w:sz w:val="20"/>
                      <w:szCs w:val="20"/>
                    </w:rPr>
                    <w:t>)</w:t>
                  </w:r>
                  <w:r>
                    <w:rPr>
                      <w:rFonts w:ascii="Times New Roman" w:hAnsi="Times New Roman" w:cs="Times New Roman"/>
                      <w:sz w:val="20"/>
                      <w:szCs w:val="20"/>
                    </w:rPr>
                    <w:t xml:space="preserve"> ou </w:t>
                  </w:r>
                  <w:r w:rsidRPr="003468B2">
                    <w:rPr>
                      <w:rFonts w:ascii="Times New Roman" w:hAnsi="Times New Roman" w:cs="Times New Roman"/>
                      <w:sz w:val="20"/>
                      <w:szCs w:val="20"/>
                    </w:rPr>
                    <w:t>d’hydrolysat de caséine (</w:t>
                  </w:r>
                  <w:r w:rsidRPr="00C44983">
                    <w:rPr>
                      <w:rFonts w:ascii="Times New Roman" w:hAnsi="Times New Roman" w:cs="Times New Roman"/>
                      <w:color w:val="990099"/>
                      <w:sz w:val="20"/>
                      <w:szCs w:val="20"/>
                    </w:rPr>
                    <w:t>■</w:t>
                  </w:r>
                  <w:r>
                    <w:rPr>
                      <w:rFonts w:ascii="Times New Roman" w:hAnsi="Times New Roman" w:cs="Times New Roman"/>
                      <w:sz w:val="20"/>
                      <w:szCs w:val="20"/>
                    </w:rPr>
                    <w:t>)</w:t>
                  </w:r>
                  <w:r w:rsidRPr="008C1A12">
                    <w:rPr>
                      <w:rFonts w:ascii="Times New Roman" w:hAnsi="Times New Roman" w:cs="Times New Roman"/>
                      <w:sz w:val="20"/>
                      <w:szCs w:val="20"/>
                    </w:rPr>
                    <w:t xml:space="preserve">. Dans toutes les cultures mixtes, l’inoculum est à une concentration finale de </w:t>
                  </w:r>
                  <w:r>
                    <w:rPr>
                      <w:rFonts w:ascii="Times New Roman" w:hAnsi="Times New Roman" w:cs="Times New Roman"/>
                      <w:sz w:val="20"/>
                      <w:szCs w:val="20"/>
                    </w:rPr>
                    <w:t>10</w:t>
                  </w:r>
                  <w:r w:rsidRPr="00B127A7">
                    <w:rPr>
                      <w:rFonts w:ascii="Times New Roman" w:hAnsi="Times New Roman" w:cs="Times New Roman"/>
                      <w:sz w:val="20"/>
                      <w:szCs w:val="20"/>
                      <w:vertAlign w:val="superscript"/>
                    </w:rPr>
                    <w:t>6</w:t>
                  </w:r>
                  <w:r>
                    <w:rPr>
                      <w:rFonts w:ascii="Times New Roman" w:hAnsi="Times New Roman" w:cs="Times New Roman"/>
                      <w:sz w:val="20"/>
                      <w:szCs w:val="20"/>
                    </w:rPr>
                    <w:t xml:space="preserve"> (pour les bactéries lactiques) et </w:t>
                  </w:r>
                  <w:r w:rsidRPr="008C1A12">
                    <w:rPr>
                      <w:rFonts w:ascii="Times New Roman" w:hAnsi="Times New Roman" w:cs="Times New Roman"/>
                      <w:sz w:val="20"/>
                      <w:szCs w:val="20"/>
                    </w:rPr>
                    <w:t>10</w:t>
                  </w:r>
                  <w:r w:rsidRPr="008C1A12">
                    <w:rPr>
                      <w:rFonts w:ascii="Times New Roman" w:hAnsi="Times New Roman" w:cs="Times New Roman"/>
                      <w:sz w:val="20"/>
                      <w:szCs w:val="20"/>
                      <w:vertAlign w:val="superscript"/>
                    </w:rPr>
                    <w:t>7</w:t>
                  </w:r>
                  <w:r w:rsidRPr="008C1A12">
                    <w:rPr>
                      <w:rFonts w:ascii="Times New Roman" w:hAnsi="Times New Roman" w:cs="Times New Roman"/>
                      <w:sz w:val="20"/>
                      <w:szCs w:val="20"/>
                    </w:rPr>
                    <w:t xml:space="preserve"> </w:t>
                  </w:r>
                  <w:r>
                    <w:rPr>
                      <w:rFonts w:ascii="Times New Roman" w:hAnsi="Times New Roman" w:cs="Times New Roman"/>
                      <w:sz w:val="20"/>
                      <w:szCs w:val="20"/>
                    </w:rPr>
                    <w:t xml:space="preserve">(pour les souches probiotiques) </w:t>
                  </w:r>
                  <w:r w:rsidRPr="008C1A12">
                    <w:rPr>
                      <w:rFonts w:ascii="Times New Roman" w:hAnsi="Times New Roman" w:cs="Times New Roman"/>
                      <w:sz w:val="20"/>
                      <w:szCs w:val="20"/>
                    </w:rPr>
                    <w:t>UFC/ml et utilisé à 1% (1 :1). Les valeurs représentent la moyenne (m) de 9 déterminations ±S</w:t>
                  </w:r>
                  <w:r>
                    <w:rPr>
                      <w:rFonts w:ascii="Times New Roman" w:hAnsi="Times New Roman" w:cs="Times New Roman"/>
                      <w:sz w:val="20"/>
                      <w:szCs w:val="20"/>
                    </w:rPr>
                    <w:t>EM</w:t>
                  </w:r>
                  <w:r w:rsidRPr="008C1A12">
                    <w:rPr>
                      <w:rFonts w:ascii="Times New Roman" w:hAnsi="Times New Roman" w:cs="Times New Roman"/>
                      <w:sz w:val="20"/>
                      <w:szCs w:val="20"/>
                    </w:rPr>
                    <w:t xml:space="preserve"> (n</w:t>
                  </w:r>
                  <w:r>
                    <w:rPr>
                      <w:rFonts w:ascii="Times New Roman" w:hAnsi="Times New Roman" w:cs="Times New Roman"/>
                      <w:sz w:val="20"/>
                      <w:szCs w:val="20"/>
                    </w:rPr>
                    <w:t xml:space="preserve"> </w:t>
                  </w:r>
                  <w:r w:rsidRPr="008C1A12">
                    <w:rPr>
                      <w:rFonts w:ascii="Times New Roman" w:hAnsi="Times New Roman" w:cs="Times New Roman"/>
                      <w:sz w:val="20"/>
                      <w:szCs w:val="20"/>
                    </w:rPr>
                    <w:t>=</w:t>
                  </w:r>
                  <w:r>
                    <w:rPr>
                      <w:rFonts w:ascii="Times New Roman" w:hAnsi="Times New Roman" w:cs="Times New Roman"/>
                      <w:sz w:val="20"/>
                      <w:szCs w:val="20"/>
                    </w:rPr>
                    <w:t xml:space="preserve"> </w:t>
                  </w:r>
                  <w:r w:rsidRPr="008C1A12">
                    <w:rPr>
                      <w:rFonts w:ascii="Times New Roman" w:hAnsi="Times New Roman" w:cs="Times New Roman"/>
                      <w:sz w:val="20"/>
                      <w:szCs w:val="20"/>
                    </w:rPr>
                    <w:t>9).</w:t>
                  </w:r>
                </w:p>
                <w:p w:rsidR="00310CA5" w:rsidRDefault="00310CA5" w:rsidP="006C66E7"/>
              </w:txbxContent>
            </v:textbox>
          </v:shape>
        </w:pict>
      </w:r>
      <w:r>
        <w:rPr>
          <w:rFonts w:asciiTheme="majorBidi" w:hAnsiTheme="majorBidi" w:cstheme="majorBidi"/>
          <w:noProof/>
          <w:lang w:eastAsia="fr-FR"/>
        </w:rPr>
        <w:pict>
          <v:shape id="_x0000_s2161" type="#_x0000_t202" style="position:absolute;margin-left:17.85pt;margin-top:338.35pt;width:402.75pt;height:222.75pt;z-index:251773952" strokecolor="white [3212]">
            <v:textbox>
              <w:txbxContent>
                <w:p w:rsidR="00310CA5" w:rsidRDefault="00310CA5" w:rsidP="006C66E7">
                  <w:pPr>
                    <w:ind w:firstLine="0"/>
                  </w:pPr>
                  <w:r w:rsidRPr="00430E03">
                    <w:rPr>
                      <w:noProof/>
                      <w:lang w:eastAsia="fr-FR"/>
                    </w:rPr>
                    <w:drawing>
                      <wp:inline distT="0" distB="0" distL="0" distR="0">
                        <wp:extent cx="4922520" cy="2626895"/>
                        <wp:effectExtent l="19050" t="0" r="11430" b="2005"/>
                        <wp:docPr id="915" name="Graphique 91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0"/>
                          </a:graphicData>
                        </a:graphic>
                      </wp:inline>
                    </w:drawing>
                  </w:r>
                </w:p>
              </w:txbxContent>
            </v:textbox>
          </v:shape>
        </w:pict>
      </w:r>
      <w:r w:rsidR="006C66E7">
        <w:rPr>
          <w:rFonts w:asciiTheme="majorBidi" w:hAnsiTheme="majorBidi" w:cstheme="majorBidi"/>
        </w:rPr>
        <w:br w:type="page"/>
      </w:r>
    </w:p>
    <w:p w:rsidR="006C66E7" w:rsidRDefault="00310CA5" w:rsidP="006C66E7">
      <w:pPr>
        <w:spacing w:before="0" w:after="0" w:line="276" w:lineRule="auto"/>
        <w:ind w:firstLine="0"/>
        <w:rPr>
          <w:rFonts w:asciiTheme="majorBidi" w:hAnsiTheme="majorBidi" w:cstheme="majorBidi"/>
        </w:rPr>
      </w:pPr>
      <w:r>
        <w:rPr>
          <w:rFonts w:asciiTheme="majorBidi" w:hAnsiTheme="majorBidi" w:cstheme="majorBidi"/>
          <w:noProof/>
          <w:lang w:eastAsia="fr-FR"/>
        </w:rPr>
        <w:lastRenderedPageBreak/>
        <w:pict>
          <v:shape id="_x0000_s2164" type="#_x0000_t202" style="position:absolute;margin-left:14.85pt;margin-top:220.6pt;width:414pt;height:107.25pt;z-index:251777024" strokecolor="white [3212]">
            <v:textbox>
              <w:txbxContent>
                <w:p w:rsidR="00310CA5" w:rsidRPr="008C1A12" w:rsidRDefault="00310CA5" w:rsidP="006C66E7">
                  <w:pPr>
                    <w:ind w:left="1134" w:hanging="992"/>
                    <w:jc w:val="both"/>
                    <w:rPr>
                      <w:rFonts w:ascii="Times New Roman" w:hAnsi="Times New Roman" w:cs="Times New Roman"/>
                      <w:sz w:val="20"/>
                      <w:szCs w:val="20"/>
                    </w:rPr>
                  </w:pPr>
                  <w:r w:rsidRPr="008C1A12">
                    <w:rPr>
                      <w:rFonts w:ascii="Times New Roman" w:hAnsi="Times New Roman" w:cs="Times New Roman"/>
                      <w:b/>
                      <w:bCs/>
                      <w:sz w:val="20"/>
                      <w:szCs w:val="20"/>
                      <w:u w:val="single"/>
                    </w:rPr>
                    <w:t>Figure 20</w:t>
                  </w:r>
                  <w:r w:rsidRPr="008C1A12">
                    <w:rPr>
                      <w:rFonts w:ascii="Times New Roman" w:hAnsi="Times New Roman" w:cs="Times New Roman"/>
                      <w:sz w:val="20"/>
                      <w:szCs w:val="20"/>
                    </w:rPr>
                    <w:t xml:space="preserve"> : Quantité </w:t>
                  </w:r>
                  <w:r w:rsidRPr="008C1A12">
                    <w:rPr>
                      <w:rFonts w:ascii="Times New Roman" w:hAnsi="Times New Roman" w:cs="Times New Roman"/>
                      <w:b/>
                      <w:bCs/>
                      <w:sz w:val="20"/>
                      <w:szCs w:val="20"/>
                    </w:rPr>
                    <w:t>d’EPS</w:t>
                  </w:r>
                  <w:r w:rsidRPr="008C1A12">
                    <w:rPr>
                      <w:rFonts w:ascii="Times New Roman" w:hAnsi="Times New Roman" w:cs="Times New Roman"/>
                      <w:sz w:val="20"/>
                      <w:szCs w:val="20"/>
                    </w:rPr>
                    <w:t xml:space="preserve"> (mg/l) produites par la culture mixte de </w:t>
                  </w:r>
                  <w:r w:rsidRPr="008C1A12">
                    <w:rPr>
                      <w:rFonts w:ascii="Times New Roman" w:hAnsi="Times New Roman" w:cs="Times New Roman"/>
                      <w:b/>
                      <w:bCs/>
                      <w:i/>
                      <w:iCs/>
                      <w:sz w:val="20"/>
                      <w:szCs w:val="20"/>
                    </w:rPr>
                    <w:t xml:space="preserve">Streptococcus thermophilus, Lactobacillus bulgaricus </w:t>
                  </w:r>
                  <w:r w:rsidRPr="008C1A12">
                    <w:rPr>
                      <w:rFonts w:ascii="Times New Roman" w:hAnsi="Times New Roman" w:cs="Times New Roman"/>
                      <w:sz w:val="20"/>
                      <w:szCs w:val="20"/>
                    </w:rPr>
                    <w:t xml:space="preserve">et une souche bénéfique </w:t>
                  </w:r>
                  <w:r w:rsidRPr="001F04E7">
                    <w:rPr>
                      <w:rFonts w:ascii="Times New Roman" w:hAnsi="Times New Roman" w:cs="Times New Roman"/>
                      <w:b/>
                      <w:bCs/>
                      <w:sz w:val="20"/>
                      <w:szCs w:val="20"/>
                    </w:rPr>
                    <w:t>BLR</w:t>
                  </w:r>
                  <w:r w:rsidRPr="00DB2968">
                    <w:rPr>
                      <w:rFonts w:ascii="Times New Roman" w:hAnsi="Times New Roman" w:cs="Times New Roman"/>
                      <w:sz w:val="20"/>
                      <w:szCs w:val="20"/>
                    </w:rPr>
                    <w:t xml:space="preserve"> ; </w:t>
                  </w:r>
                  <w:r w:rsidRPr="001F04E7">
                    <w:rPr>
                      <w:rFonts w:ascii="Times New Roman" w:hAnsi="Times New Roman" w:cs="Times New Roman"/>
                      <w:b/>
                      <w:bCs/>
                      <w:sz w:val="20"/>
                      <w:szCs w:val="20"/>
                    </w:rPr>
                    <w:t>LbRE-LSAS</w:t>
                  </w:r>
                  <w:r>
                    <w:rPr>
                      <w:rFonts w:ascii="Times New Roman" w:hAnsi="Times New Roman" w:cs="Times New Roman"/>
                      <w:sz w:val="20"/>
                      <w:szCs w:val="20"/>
                    </w:rPr>
                    <w:t> ;</w:t>
                  </w:r>
                  <w:r w:rsidRPr="00DB2968">
                    <w:rPr>
                      <w:rFonts w:ascii="Times New Roman" w:hAnsi="Times New Roman" w:cs="Times New Roman"/>
                      <w:sz w:val="20"/>
                      <w:szCs w:val="20"/>
                    </w:rPr>
                    <w:t xml:space="preserve"> </w:t>
                  </w:r>
                  <w:r w:rsidRPr="001F04E7">
                    <w:rPr>
                      <w:rFonts w:ascii="Times New Roman" w:hAnsi="Times New Roman" w:cs="Times New Roman"/>
                      <w:b/>
                      <w:bCs/>
                      <w:sz w:val="20"/>
                      <w:szCs w:val="20"/>
                    </w:rPr>
                    <w:t>Bb12</w:t>
                  </w:r>
                  <w:r w:rsidRPr="00DB2968">
                    <w:rPr>
                      <w:rFonts w:ascii="Times New Roman" w:hAnsi="Times New Roman" w:cs="Times New Roman"/>
                      <w:sz w:val="20"/>
                      <w:szCs w:val="20"/>
                    </w:rPr>
                    <w:t xml:space="preserve"> ; </w:t>
                  </w:r>
                  <w:r w:rsidRPr="001F04E7">
                    <w:rPr>
                      <w:rFonts w:ascii="Times New Roman" w:hAnsi="Times New Roman" w:cs="Times New Roman"/>
                      <w:b/>
                      <w:bCs/>
                      <w:sz w:val="20"/>
                      <w:szCs w:val="20"/>
                    </w:rPr>
                    <w:t>Lba</w:t>
                  </w:r>
                  <w:r>
                    <w:rPr>
                      <w:rFonts w:ascii="Times New Roman" w:hAnsi="Times New Roman" w:cs="Times New Roman"/>
                      <w:b/>
                      <w:bCs/>
                      <w:sz w:val="20"/>
                      <w:szCs w:val="20"/>
                    </w:rPr>
                    <w:t xml:space="preserve"> </w:t>
                  </w:r>
                  <w:r w:rsidRPr="001F04E7">
                    <w:rPr>
                      <w:rFonts w:ascii="Times New Roman" w:hAnsi="Times New Roman" w:cs="Times New Roman"/>
                      <w:b/>
                      <w:bCs/>
                      <w:sz w:val="20"/>
                      <w:szCs w:val="20"/>
                    </w:rPr>
                    <w:t>CECT4529</w:t>
                  </w:r>
                  <w:r w:rsidRPr="00DB2968">
                    <w:rPr>
                      <w:rFonts w:ascii="Times New Roman" w:hAnsi="Times New Roman" w:cs="Times New Roman"/>
                      <w:sz w:val="20"/>
                      <w:szCs w:val="20"/>
                    </w:rPr>
                    <w:t xml:space="preserve"> </w:t>
                  </w:r>
                  <w:r>
                    <w:rPr>
                      <w:rFonts w:ascii="Times New Roman" w:hAnsi="Times New Roman" w:cs="Times New Roman"/>
                      <w:sz w:val="20"/>
                      <w:szCs w:val="20"/>
                    </w:rPr>
                    <w:t>ou</w:t>
                  </w:r>
                  <w:r w:rsidRPr="00DB2968">
                    <w:rPr>
                      <w:rFonts w:ascii="Times New Roman" w:hAnsi="Times New Roman" w:cs="Times New Roman"/>
                      <w:sz w:val="20"/>
                      <w:szCs w:val="20"/>
                    </w:rPr>
                    <w:t xml:space="preserve"> </w:t>
                  </w:r>
                  <w:r w:rsidRPr="001F04E7">
                    <w:rPr>
                      <w:rFonts w:ascii="Times New Roman" w:hAnsi="Times New Roman" w:cs="Times New Roman"/>
                      <w:b/>
                      <w:bCs/>
                      <w:sz w:val="20"/>
                      <w:szCs w:val="20"/>
                    </w:rPr>
                    <w:t>Lbp</w:t>
                  </w:r>
                  <w:r>
                    <w:rPr>
                      <w:rFonts w:ascii="Times New Roman" w:hAnsi="Times New Roman" w:cs="Times New Roman"/>
                      <w:b/>
                      <w:bCs/>
                      <w:sz w:val="20"/>
                      <w:szCs w:val="20"/>
                    </w:rPr>
                    <w:t xml:space="preserve"> </w:t>
                  </w:r>
                  <w:r w:rsidRPr="001F04E7">
                    <w:rPr>
                      <w:rFonts w:ascii="Times New Roman" w:hAnsi="Times New Roman" w:cs="Times New Roman"/>
                      <w:b/>
                      <w:bCs/>
                      <w:sz w:val="20"/>
                      <w:szCs w:val="20"/>
                    </w:rPr>
                    <w:t>CECT748</w:t>
                  </w:r>
                  <w:r>
                    <w:rPr>
                      <w:rFonts w:ascii="Times New Roman" w:hAnsi="Times New Roman" w:cs="Times New Roman"/>
                      <w:b/>
                      <w:bCs/>
                      <w:sz w:val="20"/>
                      <w:szCs w:val="20"/>
                    </w:rPr>
                    <w:t xml:space="preserve"> </w:t>
                  </w:r>
                  <w:r w:rsidRPr="008C1A12">
                    <w:rPr>
                      <w:rFonts w:ascii="Times New Roman" w:hAnsi="Times New Roman" w:cs="Times New Roman"/>
                      <w:sz w:val="20"/>
                      <w:szCs w:val="20"/>
                    </w:rPr>
                    <w:t>dans le lait fermenté à 37°C en absence  (témoin</w:t>
                  </w:r>
                  <w:r>
                    <w:rPr>
                      <w:rFonts w:ascii="Times New Roman" w:hAnsi="Times New Roman" w:cs="Times New Roman"/>
                      <w:noProof/>
                      <w:sz w:val="20"/>
                      <w:szCs w:val="20"/>
                      <w:lang w:eastAsia="fr-FR"/>
                    </w:rPr>
                    <w:t xml:space="preserve"> </w:t>
                  </w:r>
                  <w:r w:rsidRPr="00C44983">
                    <w:rPr>
                      <w:rFonts w:ascii="Times New Roman" w:hAnsi="Times New Roman" w:cs="Times New Roman"/>
                      <w:noProof/>
                      <w:color w:val="0070C0"/>
                      <w:sz w:val="20"/>
                      <w:szCs w:val="20"/>
                      <w:lang w:eastAsia="fr-FR"/>
                    </w:rPr>
                    <w:t>■</w:t>
                  </w:r>
                  <w:r w:rsidRPr="008C1A12">
                    <w:rPr>
                      <w:rFonts w:ascii="Times New Roman" w:hAnsi="Times New Roman" w:cs="Times New Roman"/>
                      <w:sz w:val="20"/>
                      <w:szCs w:val="20"/>
                    </w:rPr>
                    <w:t xml:space="preserve">), ou en présence 0,53% (P/V) : </w:t>
                  </w:r>
                  <w:r>
                    <w:rPr>
                      <w:rFonts w:ascii="Times New Roman" w:hAnsi="Times New Roman" w:cs="Times New Roman"/>
                      <w:sz w:val="20"/>
                      <w:szCs w:val="20"/>
                    </w:rPr>
                    <w:t xml:space="preserve">de </w:t>
                  </w:r>
                  <w:r w:rsidRPr="003468B2">
                    <w:rPr>
                      <w:rFonts w:ascii="Times New Roman" w:hAnsi="Times New Roman" w:cs="Times New Roman"/>
                      <w:sz w:val="20"/>
                      <w:szCs w:val="20"/>
                    </w:rPr>
                    <w:t>lactosérum doux (</w:t>
                  </w:r>
                  <w:r w:rsidRPr="007A6C8B">
                    <w:rPr>
                      <w:rFonts w:ascii="Times New Roman" w:hAnsi="Times New Roman" w:cs="Times New Roman"/>
                      <w:color w:val="FF9900"/>
                      <w:sz w:val="20"/>
                      <w:szCs w:val="20"/>
                    </w:rPr>
                    <w:t>■</w:t>
                  </w:r>
                  <w:r w:rsidRPr="003468B2">
                    <w:rPr>
                      <w:rFonts w:ascii="Times New Roman" w:hAnsi="Times New Roman" w:cs="Times New Roman"/>
                      <w:sz w:val="20"/>
                      <w:szCs w:val="20"/>
                    </w:rPr>
                    <w:t xml:space="preserve">), </w:t>
                  </w:r>
                  <w:r>
                    <w:rPr>
                      <w:rFonts w:ascii="Times New Roman" w:hAnsi="Times New Roman" w:cs="Times New Roman"/>
                      <w:sz w:val="20"/>
                      <w:szCs w:val="20"/>
                    </w:rPr>
                    <w:t xml:space="preserve">de </w:t>
                  </w:r>
                  <w:r w:rsidRPr="003468B2">
                    <w:rPr>
                      <w:rFonts w:ascii="Times New Roman" w:hAnsi="Times New Roman" w:cs="Times New Roman"/>
                      <w:sz w:val="20"/>
                      <w:szCs w:val="20"/>
                    </w:rPr>
                    <w:t>Promilk 852A2 (</w:t>
                  </w:r>
                  <w:r w:rsidRPr="00C44983">
                    <w:rPr>
                      <w:rFonts w:ascii="Times New Roman" w:hAnsi="Times New Roman" w:cs="Times New Roman"/>
                      <w:color w:val="92D050"/>
                      <w:sz w:val="20"/>
                      <w:szCs w:val="20"/>
                    </w:rPr>
                    <w:t>■</w:t>
                  </w:r>
                  <w:r w:rsidRPr="003468B2">
                    <w:rPr>
                      <w:rFonts w:ascii="Times New Roman" w:hAnsi="Times New Roman" w:cs="Times New Roman"/>
                      <w:sz w:val="20"/>
                      <w:szCs w:val="20"/>
                    </w:rPr>
                    <w:t>),</w:t>
                  </w:r>
                  <w:r>
                    <w:rPr>
                      <w:rFonts w:ascii="Times New Roman" w:hAnsi="Times New Roman" w:cs="Times New Roman"/>
                      <w:sz w:val="20"/>
                      <w:szCs w:val="20"/>
                    </w:rPr>
                    <w:t xml:space="preserve"> de </w:t>
                  </w:r>
                  <w:r w:rsidRPr="003468B2">
                    <w:rPr>
                      <w:rFonts w:ascii="Times New Roman" w:hAnsi="Times New Roman" w:cs="Times New Roman"/>
                      <w:sz w:val="20"/>
                      <w:szCs w:val="20"/>
                    </w:rPr>
                    <w:t>Promilk C502 (</w:t>
                  </w:r>
                  <w:r w:rsidRPr="00C44983">
                    <w:rPr>
                      <w:rFonts w:ascii="Times New Roman" w:hAnsi="Times New Roman" w:cs="Times New Roman"/>
                      <w:color w:val="FF33CC"/>
                      <w:sz w:val="20"/>
                      <w:szCs w:val="20"/>
                    </w:rPr>
                    <w:t>■</w:t>
                  </w:r>
                  <w:r w:rsidRPr="003468B2">
                    <w:rPr>
                      <w:rFonts w:ascii="Times New Roman" w:hAnsi="Times New Roman" w:cs="Times New Roman"/>
                      <w:sz w:val="20"/>
                      <w:szCs w:val="20"/>
                    </w:rPr>
                    <w:t>)</w:t>
                  </w:r>
                  <w:r>
                    <w:rPr>
                      <w:rFonts w:ascii="Times New Roman" w:hAnsi="Times New Roman" w:cs="Times New Roman"/>
                      <w:sz w:val="20"/>
                      <w:szCs w:val="20"/>
                    </w:rPr>
                    <w:t xml:space="preserve"> ou d’</w:t>
                  </w:r>
                  <w:r w:rsidRPr="003468B2">
                    <w:rPr>
                      <w:rFonts w:ascii="Times New Roman" w:hAnsi="Times New Roman" w:cs="Times New Roman"/>
                      <w:sz w:val="20"/>
                      <w:szCs w:val="20"/>
                    </w:rPr>
                    <w:t>hydrolysat de caséine (</w:t>
                  </w:r>
                  <w:r w:rsidRPr="00C44983">
                    <w:rPr>
                      <w:rFonts w:ascii="Times New Roman" w:hAnsi="Times New Roman" w:cs="Times New Roman"/>
                      <w:color w:val="990099"/>
                      <w:sz w:val="20"/>
                      <w:szCs w:val="20"/>
                    </w:rPr>
                    <w:t>■</w:t>
                  </w:r>
                  <w:r>
                    <w:rPr>
                      <w:rFonts w:ascii="Times New Roman" w:hAnsi="Times New Roman" w:cs="Times New Roman"/>
                      <w:sz w:val="20"/>
                      <w:szCs w:val="20"/>
                    </w:rPr>
                    <w:t>)</w:t>
                  </w:r>
                  <w:r w:rsidRPr="008C1A12">
                    <w:rPr>
                      <w:rFonts w:ascii="Times New Roman" w:hAnsi="Times New Roman" w:cs="Times New Roman"/>
                      <w:sz w:val="20"/>
                      <w:szCs w:val="20"/>
                    </w:rPr>
                    <w:t xml:space="preserve">. Dans toutes les cultures mixtes, l’inoculum est à une concentration finale de </w:t>
                  </w:r>
                  <w:r>
                    <w:rPr>
                      <w:rFonts w:ascii="Times New Roman" w:hAnsi="Times New Roman" w:cs="Times New Roman"/>
                      <w:sz w:val="20"/>
                      <w:szCs w:val="20"/>
                    </w:rPr>
                    <w:t>10</w:t>
                  </w:r>
                  <w:r w:rsidRPr="00B127A7">
                    <w:rPr>
                      <w:rFonts w:ascii="Times New Roman" w:hAnsi="Times New Roman" w:cs="Times New Roman"/>
                      <w:sz w:val="20"/>
                      <w:szCs w:val="20"/>
                      <w:vertAlign w:val="superscript"/>
                    </w:rPr>
                    <w:t>6</w:t>
                  </w:r>
                  <w:r>
                    <w:rPr>
                      <w:rFonts w:ascii="Times New Roman" w:hAnsi="Times New Roman" w:cs="Times New Roman"/>
                      <w:sz w:val="20"/>
                      <w:szCs w:val="20"/>
                    </w:rPr>
                    <w:t xml:space="preserve"> (pour les bactéries lactiques) et </w:t>
                  </w:r>
                  <w:r w:rsidRPr="008C1A12">
                    <w:rPr>
                      <w:rFonts w:ascii="Times New Roman" w:hAnsi="Times New Roman" w:cs="Times New Roman"/>
                      <w:sz w:val="20"/>
                      <w:szCs w:val="20"/>
                    </w:rPr>
                    <w:t>10</w:t>
                  </w:r>
                  <w:r w:rsidRPr="008C1A12">
                    <w:rPr>
                      <w:rFonts w:ascii="Times New Roman" w:hAnsi="Times New Roman" w:cs="Times New Roman"/>
                      <w:sz w:val="20"/>
                      <w:szCs w:val="20"/>
                      <w:vertAlign w:val="superscript"/>
                    </w:rPr>
                    <w:t>7</w:t>
                  </w:r>
                  <w:r w:rsidRPr="008C1A12">
                    <w:rPr>
                      <w:rFonts w:ascii="Times New Roman" w:hAnsi="Times New Roman" w:cs="Times New Roman"/>
                      <w:sz w:val="20"/>
                      <w:szCs w:val="20"/>
                    </w:rPr>
                    <w:t xml:space="preserve"> </w:t>
                  </w:r>
                  <w:r>
                    <w:rPr>
                      <w:rFonts w:ascii="Times New Roman" w:hAnsi="Times New Roman" w:cs="Times New Roman"/>
                      <w:sz w:val="20"/>
                      <w:szCs w:val="20"/>
                    </w:rPr>
                    <w:t xml:space="preserve">(pour les souches probiotiques) </w:t>
                  </w:r>
                  <w:r w:rsidRPr="008C1A12">
                    <w:rPr>
                      <w:rFonts w:ascii="Times New Roman" w:hAnsi="Times New Roman" w:cs="Times New Roman"/>
                      <w:sz w:val="20"/>
                      <w:szCs w:val="20"/>
                    </w:rPr>
                    <w:t>UFC/ml et utilisé à 1% (1 :1). Les valeurs représentent la moyenne (m) de 9 déterminations ±S</w:t>
                  </w:r>
                  <w:r>
                    <w:rPr>
                      <w:rFonts w:ascii="Times New Roman" w:hAnsi="Times New Roman" w:cs="Times New Roman"/>
                      <w:sz w:val="20"/>
                      <w:szCs w:val="20"/>
                    </w:rPr>
                    <w:t>EM</w:t>
                  </w:r>
                  <w:r w:rsidRPr="008C1A12">
                    <w:rPr>
                      <w:rFonts w:ascii="Times New Roman" w:hAnsi="Times New Roman" w:cs="Times New Roman"/>
                      <w:sz w:val="20"/>
                      <w:szCs w:val="20"/>
                    </w:rPr>
                    <w:t xml:space="preserve"> (n</w:t>
                  </w:r>
                  <w:r>
                    <w:rPr>
                      <w:rFonts w:ascii="Times New Roman" w:hAnsi="Times New Roman" w:cs="Times New Roman"/>
                      <w:sz w:val="20"/>
                      <w:szCs w:val="20"/>
                    </w:rPr>
                    <w:t xml:space="preserve"> </w:t>
                  </w:r>
                  <w:r w:rsidRPr="008C1A12">
                    <w:rPr>
                      <w:rFonts w:ascii="Times New Roman" w:hAnsi="Times New Roman" w:cs="Times New Roman"/>
                      <w:sz w:val="20"/>
                      <w:szCs w:val="20"/>
                    </w:rPr>
                    <w:t>=</w:t>
                  </w:r>
                  <w:r>
                    <w:rPr>
                      <w:rFonts w:ascii="Times New Roman" w:hAnsi="Times New Roman" w:cs="Times New Roman"/>
                      <w:sz w:val="20"/>
                      <w:szCs w:val="20"/>
                    </w:rPr>
                    <w:t xml:space="preserve"> </w:t>
                  </w:r>
                  <w:r w:rsidRPr="008C1A12">
                    <w:rPr>
                      <w:rFonts w:ascii="Times New Roman" w:hAnsi="Times New Roman" w:cs="Times New Roman"/>
                      <w:sz w:val="20"/>
                      <w:szCs w:val="20"/>
                    </w:rPr>
                    <w:t>9).</w:t>
                  </w:r>
                </w:p>
                <w:p w:rsidR="00310CA5" w:rsidRPr="00430E03" w:rsidRDefault="00310CA5" w:rsidP="006C66E7"/>
              </w:txbxContent>
            </v:textbox>
          </v:shape>
        </w:pict>
      </w:r>
      <w:r w:rsidR="006F133D">
        <w:rPr>
          <w:rFonts w:asciiTheme="majorBidi" w:hAnsiTheme="majorBidi" w:cstheme="majorBidi"/>
          <w:noProof/>
          <w:lang w:eastAsia="fr-FR"/>
        </w:rPr>
        <w:pict>
          <v:shape id="_x0000_s2166" type="#_x0000_t202" style="position:absolute;margin-left:10.35pt;margin-top:561.1pt;width:418.5pt;height:113.25pt;z-index:251779072" strokecolor="white [3212]">
            <v:textbox>
              <w:txbxContent>
                <w:p w:rsidR="00310CA5" w:rsidRPr="008C1A12" w:rsidRDefault="00310CA5" w:rsidP="006C66E7">
                  <w:pPr>
                    <w:ind w:left="993" w:hanging="1135"/>
                    <w:jc w:val="both"/>
                    <w:rPr>
                      <w:rFonts w:ascii="Times New Roman" w:hAnsi="Times New Roman" w:cs="Times New Roman"/>
                      <w:sz w:val="20"/>
                      <w:szCs w:val="20"/>
                    </w:rPr>
                  </w:pPr>
                  <w:r w:rsidRPr="008C1A12">
                    <w:rPr>
                      <w:rFonts w:ascii="Times New Roman" w:hAnsi="Times New Roman" w:cs="Times New Roman"/>
                      <w:b/>
                      <w:bCs/>
                      <w:sz w:val="20"/>
                      <w:szCs w:val="20"/>
                      <w:u w:val="single"/>
                    </w:rPr>
                    <w:t>Figure 21</w:t>
                  </w:r>
                  <w:r w:rsidRPr="008C1A12">
                    <w:rPr>
                      <w:rFonts w:ascii="Times New Roman" w:hAnsi="Times New Roman" w:cs="Times New Roman"/>
                      <w:sz w:val="20"/>
                      <w:szCs w:val="20"/>
                    </w:rPr>
                    <w:t xml:space="preserve"> : </w:t>
                  </w:r>
                  <w:r w:rsidRPr="008C1A12">
                    <w:rPr>
                      <w:rFonts w:ascii="Times New Roman" w:hAnsi="Times New Roman" w:cs="Times New Roman"/>
                      <w:b/>
                      <w:bCs/>
                      <w:sz w:val="20"/>
                      <w:szCs w:val="20"/>
                    </w:rPr>
                    <w:t>Viscosité</w:t>
                  </w:r>
                  <w:r w:rsidRPr="008C1A12">
                    <w:rPr>
                      <w:rFonts w:ascii="Times New Roman" w:hAnsi="Times New Roman" w:cs="Times New Roman"/>
                      <w:sz w:val="20"/>
                      <w:szCs w:val="20"/>
                    </w:rPr>
                    <w:t xml:space="preserve"> (m.Pa.s) du lait fermenté à 37°C par la culture mixte de </w:t>
                  </w:r>
                  <w:r w:rsidRPr="008C1A12">
                    <w:rPr>
                      <w:rFonts w:ascii="Times New Roman" w:hAnsi="Times New Roman" w:cs="Times New Roman"/>
                      <w:b/>
                      <w:bCs/>
                      <w:i/>
                      <w:iCs/>
                      <w:sz w:val="20"/>
                      <w:szCs w:val="20"/>
                    </w:rPr>
                    <w:t>Streptococcus thermophilus</w:t>
                  </w:r>
                  <w:r w:rsidRPr="008C1A12">
                    <w:rPr>
                      <w:rFonts w:ascii="Times New Roman" w:hAnsi="Times New Roman" w:cs="Times New Roman"/>
                      <w:sz w:val="20"/>
                      <w:szCs w:val="20"/>
                    </w:rPr>
                    <w:t xml:space="preserve">, </w:t>
                  </w:r>
                  <w:r w:rsidRPr="008C1A12">
                    <w:rPr>
                      <w:rFonts w:ascii="Times New Roman" w:hAnsi="Times New Roman" w:cs="Times New Roman"/>
                      <w:b/>
                      <w:bCs/>
                      <w:i/>
                      <w:iCs/>
                      <w:sz w:val="20"/>
                      <w:szCs w:val="20"/>
                    </w:rPr>
                    <w:t>Lactobacillus bulgaricus</w:t>
                  </w:r>
                  <w:r w:rsidRPr="008C1A12">
                    <w:rPr>
                      <w:rFonts w:ascii="Times New Roman" w:hAnsi="Times New Roman" w:cs="Times New Roman"/>
                      <w:sz w:val="20"/>
                      <w:szCs w:val="20"/>
                    </w:rPr>
                    <w:t xml:space="preserve"> et une souche bénéfique </w:t>
                  </w:r>
                  <w:r w:rsidRPr="001F04E7">
                    <w:rPr>
                      <w:rFonts w:ascii="Times New Roman" w:hAnsi="Times New Roman" w:cs="Times New Roman"/>
                      <w:b/>
                      <w:bCs/>
                      <w:sz w:val="20"/>
                      <w:szCs w:val="20"/>
                    </w:rPr>
                    <w:t>BLR</w:t>
                  </w:r>
                  <w:r w:rsidRPr="00DB2968">
                    <w:rPr>
                      <w:rFonts w:ascii="Times New Roman" w:hAnsi="Times New Roman" w:cs="Times New Roman"/>
                      <w:sz w:val="20"/>
                      <w:szCs w:val="20"/>
                    </w:rPr>
                    <w:t xml:space="preserve"> ; </w:t>
                  </w:r>
                  <w:r w:rsidRPr="001F04E7">
                    <w:rPr>
                      <w:rFonts w:ascii="Times New Roman" w:hAnsi="Times New Roman" w:cs="Times New Roman"/>
                      <w:b/>
                      <w:bCs/>
                      <w:sz w:val="20"/>
                      <w:szCs w:val="20"/>
                    </w:rPr>
                    <w:t>LbRE-LSAS</w:t>
                  </w:r>
                  <w:r>
                    <w:rPr>
                      <w:rFonts w:ascii="Times New Roman" w:hAnsi="Times New Roman" w:cs="Times New Roman"/>
                      <w:sz w:val="20"/>
                      <w:szCs w:val="20"/>
                    </w:rPr>
                    <w:t> ;</w:t>
                  </w:r>
                  <w:r w:rsidRPr="00DB2968">
                    <w:rPr>
                      <w:rFonts w:ascii="Times New Roman" w:hAnsi="Times New Roman" w:cs="Times New Roman"/>
                      <w:sz w:val="20"/>
                      <w:szCs w:val="20"/>
                    </w:rPr>
                    <w:t xml:space="preserve"> </w:t>
                  </w:r>
                  <w:r w:rsidRPr="001F04E7">
                    <w:rPr>
                      <w:rFonts w:ascii="Times New Roman" w:hAnsi="Times New Roman" w:cs="Times New Roman"/>
                      <w:b/>
                      <w:bCs/>
                      <w:sz w:val="20"/>
                      <w:szCs w:val="20"/>
                    </w:rPr>
                    <w:t>Bb12</w:t>
                  </w:r>
                  <w:r w:rsidRPr="00DB2968">
                    <w:rPr>
                      <w:rFonts w:ascii="Times New Roman" w:hAnsi="Times New Roman" w:cs="Times New Roman"/>
                      <w:sz w:val="20"/>
                      <w:szCs w:val="20"/>
                    </w:rPr>
                    <w:t xml:space="preserve"> ; </w:t>
                  </w:r>
                  <w:r w:rsidRPr="001F04E7">
                    <w:rPr>
                      <w:rFonts w:ascii="Times New Roman" w:hAnsi="Times New Roman" w:cs="Times New Roman"/>
                      <w:b/>
                      <w:bCs/>
                      <w:sz w:val="20"/>
                      <w:szCs w:val="20"/>
                    </w:rPr>
                    <w:t>Lba</w:t>
                  </w:r>
                  <w:r>
                    <w:rPr>
                      <w:rFonts w:ascii="Times New Roman" w:hAnsi="Times New Roman" w:cs="Times New Roman"/>
                      <w:b/>
                      <w:bCs/>
                      <w:sz w:val="20"/>
                      <w:szCs w:val="20"/>
                    </w:rPr>
                    <w:t xml:space="preserve"> </w:t>
                  </w:r>
                  <w:r w:rsidRPr="001F04E7">
                    <w:rPr>
                      <w:rFonts w:ascii="Times New Roman" w:hAnsi="Times New Roman" w:cs="Times New Roman"/>
                      <w:b/>
                      <w:bCs/>
                      <w:sz w:val="20"/>
                      <w:szCs w:val="20"/>
                    </w:rPr>
                    <w:t>CECT4529</w:t>
                  </w:r>
                  <w:r w:rsidRPr="00DB2968">
                    <w:rPr>
                      <w:rFonts w:ascii="Times New Roman" w:hAnsi="Times New Roman" w:cs="Times New Roman"/>
                      <w:sz w:val="20"/>
                      <w:szCs w:val="20"/>
                    </w:rPr>
                    <w:t xml:space="preserve"> </w:t>
                  </w:r>
                  <w:r>
                    <w:rPr>
                      <w:rFonts w:ascii="Times New Roman" w:hAnsi="Times New Roman" w:cs="Times New Roman"/>
                      <w:sz w:val="20"/>
                      <w:szCs w:val="20"/>
                    </w:rPr>
                    <w:t>ou</w:t>
                  </w:r>
                  <w:r w:rsidRPr="00DB2968">
                    <w:rPr>
                      <w:rFonts w:ascii="Times New Roman" w:hAnsi="Times New Roman" w:cs="Times New Roman"/>
                      <w:sz w:val="20"/>
                      <w:szCs w:val="20"/>
                    </w:rPr>
                    <w:t xml:space="preserve"> </w:t>
                  </w:r>
                  <w:r w:rsidRPr="001F04E7">
                    <w:rPr>
                      <w:rFonts w:ascii="Times New Roman" w:hAnsi="Times New Roman" w:cs="Times New Roman"/>
                      <w:b/>
                      <w:bCs/>
                      <w:sz w:val="20"/>
                      <w:szCs w:val="20"/>
                    </w:rPr>
                    <w:t>Lbp</w:t>
                  </w:r>
                  <w:r>
                    <w:rPr>
                      <w:rFonts w:ascii="Times New Roman" w:hAnsi="Times New Roman" w:cs="Times New Roman"/>
                      <w:b/>
                      <w:bCs/>
                      <w:sz w:val="20"/>
                      <w:szCs w:val="20"/>
                    </w:rPr>
                    <w:t xml:space="preserve"> </w:t>
                  </w:r>
                  <w:r w:rsidRPr="001F04E7">
                    <w:rPr>
                      <w:rFonts w:ascii="Times New Roman" w:hAnsi="Times New Roman" w:cs="Times New Roman"/>
                      <w:b/>
                      <w:bCs/>
                      <w:sz w:val="20"/>
                      <w:szCs w:val="20"/>
                    </w:rPr>
                    <w:t>CECT748</w:t>
                  </w:r>
                  <w:r>
                    <w:rPr>
                      <w:rFonts w:ascii="Times New Roman" w:hAnsi="Times New Roman" w:cs="Times New Roman"/>
                      <w:b/>
                      <w:bCs/>
                      <w:sz w:val="20"/>
                      <w:szCs w:val="20"/>
                    </w:rPr>
                    <w:t xml:space="preserve"> </w:t>
                  </w:r>
                  <w:r w:rsidRPr="008C1A12">
                    <w:rPr>
                      <w:rFonts w:ascii="Times New Roman" w:hAnsi="Times New Roman" w:cs="Times New Roman"/>
                      <w:sz w:val="20"/>
                      <w:szCs w:val="20"/>
                    </w:rPr>
                    <w:t>dans le lait fermenté à 37°C en absence  (témoin</w:t>
                  </w:r>
                  <w:r>
                    <w:rPr>
                      <w:rFonts w:ascii="Times New Roman" w:hAnsi="Times New Roman" w:cs="Times New Roman"/>
                      <w:noProof/>
                      <w:sz w:val="20"/>
                      <w:szCs w:val="20"/>
                      <w:lang w:eastAsia="fr-FR"/>
                    </w:rPr>
                    <w:t xml:space="preserve"> </w:t>
                  </w:r>
                  <w:r w:rsidRPr="00C44983">
                    <w:rPr>
                      <w:rFonts w:ascii="Times New Roman" w:hAnsi="Times New Roman" w:cs="Times New Roman"/>
                      <w:noProof/>
                      <w:color w:val="0070C0"/>
                      <w:sz w:val="20"/>
                      <w:szCs w:val="20"/>
                      <w:lang w:eastAsia="fr-FR"/>
                    </w:rPr>
                    <w:t>■</w:t>
                  </w:r>
                  <w:r>
                    <w:rPr>
                      <w:rFonts w:ascii="Times New Roman" w:hAnsi="Times New Roman" w:cs="Times New Roman"/>
                      <w:sz w:val="20"/>
                      <w:szCs w:val="20"/>
                    </w:rPr>
                    <w:t>), ou en présence 0,53% (P/V) </w:t>
                  </w:r>
                  <w:r w:rsidRPr="008C1A12">
                    <w:rPr>
                      <w:rFonts w:ascii="Times New Roman" w:hAnsi="Times New Roman" w:cs="Times New Roman"/>
                      <w:sz w:val="20"/>
                      <w:szCs w:val="20"/>
                    </w:rPr>
                    <w:t xml:space="preserve">: </w:t>
                  </w:r>
                  <w:r w:rsidRPr="003468B2">
                    <w:rPr>
                      <w:rFonts w:ascii="Times New Roman" w:hAnsi="Times New Roman" w:cs="Times New Roman"/>
                      <w:sz w:val="20"/>
                      <w:szCs w:val="20"/>
                    </w:rPr>
                    <w:t>de lactosérum doux (</w:t>
                  </w:r>
                  <w:r w:rsidRPr="007A6C8B">
                    <w:rPr>
                      <w:rFonts w:ascii="Times New Roman" w:hAnsi="Times New Roman" w:cs="Times New Roman"/>
                      <w:color w:val="FF9900"/>
                      <w:sz w:val="20"/>
                      <w:szCs w:val="20"/>
                    </w:rPr>
                    <w:t>■</w:t>
                  </w:r>
                  <w:r w:rsidRPr="003468B2">
                    <w:rPr>
                      <w:rFonts w:ascii="Times New Roman" w:hAnsi="Times New Roman" w:cs="Times New Roman"/>
                      <w:sz w:val="20"/>
                      <w:szCs w:val="20"/>
                    </w:rPr>
                    <w:t>), de Promilk 852A2 (</w:t>
                  </w:r>
                  <w:r w:rsidRPr="00C44983">
                    <w:rPr>
                      <w:rFonts w:ascii="Times New Roman" w:hAnsi="Times New Roman" w:cs="Times New Roman"/>
                      <w:color w:val="92D050"/>
                      <w:sz w:val="20"/>
                      <w:szCs w:val="20"/>
                    </w:rPr>
                    <w:t>■</w:t>
                  </w:r>
                  <w:r w:rsidRPr="003468B2">
                    <w:rPr>
                      <w:rFonts w:ascii="Times New Roman" w:hAnsi="Times New Roman" w:cs="Times New Roman"/>
                      <w:sz w:val="20"/>
                      <w:szCs w:val="20"/>
                    </w:rPr>
                    <w:t>),</w:t>
                  </w:r>
                  <w:r>
                    <w:rPr>
                      <w:rFonts w:ascii="Times New Roman" w:hAnsi="Times New Roman" w:cs="Times New Roman"/>
                      <w:sz w:val="20"/>
                      <w:szCs w:val="20"/>
                    </w:rPr>
                    <w:t xml:space="preserve"> </w:t>
                  </w:r>
                  <w:r w:rsidRPr="003468B2">
                    <w:rPr>
                      <w:rFonts w:ascii="Times New Roman" w:hAnsi="Times New Roman" w:cs="Times New Roman"/>
                      <w:sz w:val="20"/>
                      <w:szCs w:val="20"/>
                    </w:rPr>
                    <w:t>de Promilk C502 (</w:t>
                  </w:r>
                  <w:r w:rsidRPr="00C44983">
                    <w:rPr>
                      <w:rFonts w:ascii="Times New Roman" w:hAnsi="Times New Roman" w:cs="Times New Roman"/>
                      <w:color w:val="FF33CC"/>
                      <w:sz w:val="20"/>
                      <w:szCs w:val="20"/>
                    </w:rPr>
                    <w:t>■</w:t>
                  </w:r>
                  <w:r w:rsidRPr="003468B2">
                    <w:rPr>
                      <w:rFonts w:ascii="Times New Roman" w:hAnsi="Times New Roman" w:cs="Times New Roman"/>
                      <w:sz w:val="20"/>
                      <w:szCs w:val="20"/>
                    </w:rPr>
                    <w:t>)</w:t>
                  </w:r>
                  <w:r>
                    <w:rPr>
                      <w:rFonts w:ascii="Times New Roman" w:hAnsi="Times New Roman" w:cs="Times New Roman"/>
                      <w:sz w:val="20"/>
                      <w:szCs w:val="20"/>
                    </w:rPr>
                    <w:t xml:space="preserve"> ou </w:t>
                  </w:r>
                  <w:r w:rsidRPr="003468B2">
                    <w:rPr>
                      <w:rFonts w:ascii="Times New Roman" w:hAnsi="Times New Roman" w:cs="Times New Roman"/>
                      <w:sz w:val="20"/>
                      <w:szCs w:val="20"/>
                    </w:rPr>
                    <w:t>d’hydrolysat de caséine (</w:t>
                  </w:r>
                  <w:r w:rsidRPr="00C44983">
                    <w:rPr>
                      <w:rFonts w:ascii="Times New Roman" w:hAnsi="Times New Roman" w:cs="Times New Roman"/>
                      <w:color w:val="990099"/>
                      <w:sz w:val="20"/>
                      <w:szCs w:val="20"/>
                    </w:rPr>
                    <w:t>■</w:t>
                  </w:r>
                  <w:r>
                    <w:rPr>
                      <w:rFonts w:ascii="Times New Roman" w:hAnsi="Times New Roman" w:cs="Times New Roman"/>
                      <w:sz w:val="20"/>
                      <w:szCs w:val="20"/>
                    </w:rPr>
                    <w:t>)</w:t>
                  </w:r>
                  <w:r w:rsidRPr="008C1A12">
                    <w:rPr>
                      <w:rFonts w:ascii="Times New Roman" w:hAnsi="Times New Roman" w:cs="Times New Roman"/>
                      <w:sz w:val="20"/>
                      <w:szCs w:val="20"/>
                    </w:rPr>
                    <w:t xml:space="preserve">. Dans toutes les cultures mixtes, l’inoculum est à une concentration finale de </w:t>
                  </w:r>
                  <w:r>
                    <w:rPr>
                      <w:rFonts w:ascii="Times New Roman" w:hAnsi="Times New Roman" w:cs="Times New Roman"/>
                      <w:sz w:val="20"/>
                      <w:szCs w:val="20"/>
                    </w:rPr>
                    <w:t>10</w:t>
                  </w:r>
                  <w:r w:rsidRPr="00B127A7">
                    <w:rPr>
                      <w:rFonts w:ascii="Times New Roman" w:hAnsi="Times New Roman" w:cs="Times New Roman"/>
                      <w:sz w:val="20"/>
                      <w:szCs w:val="20"/>
                      <w:vertAlign w:val="superscript"/>
                    </w:rPr>
                    <w:t>6</w:t>
                  </w:r>
                  <w:r>
                    <w:rPr>
                      <w:rFonts w:ascii="Times New Roman" w:hAnsi="Times New Roman" w:cs="Times New Roman"/>
                      <w:sz w:val="20"/>
                      <w:szCs w:val="20"/>
                    </w:rPr>
                    <w:t xml:space="preserve"> (pour les bactéries lactiques) et  </w:t>
                  </w:r>
                  <w:r w:rsidRPr="008C1A12">
                    <w:rPr>
                      <w:rFonts w:ascii="Times New Roman" w:hAnsi="Times New Roman" w:cs="Times New Roman"/>
                      <w:sz w:val="20"/>
                      <w:szCs w:val="20"/>
                    </w:rPr>
                    <w:t>10</w:t>
                  </w:r>
                  <w:r w:rsidRPr="008C1A12">
                    <w:rPr>
                      <w:rFonts w:ascii="Times New Roman" w:hAnsi="Times New Roman" w:cs="Times New Roman"/>
                      <w:sz w:val="20"/>
                      <w:szCs w:val="20"/>
                      <w:vertAlign w:val="superscript"/>
                    </w:rPr>
                    <w:t>7</w:t>
                  </w:r>
                  <w:r w:rsidRPr="008C1A12">
                    <w:rPr>
                      <w:rFonts w:ascii="Times New Roman" w:hAnsi="Times New Roman" w:cs="Times New Roman"/>
                      <w:sz w:val="20"/>
                      <w:szCs w:val="20"/>
                    </w:rPr>
                    <w:t xml:space="preserve"> </w:t>
                  </w:r>
                  <w:r>
                    <w:rPr>
                      <w:rFonts w:ascii="Times New Roman" w:hAnsi="Times New Roman" w:cs="Times New Roman"/>
                      <w:sz w:val="20"/>
                      <w:szCs w:val="20"/>
                    </w:rPr>
                    <w:t xml:space="preserve">(pour les souches probiotiques) </w:t>
                  </w:r>
                  <w:r w:rsidRPr="008C1A12">
                    <w:rPr>
                      <w:rFonts w:ascii="Times New Roman" w:hAnsi="Times New Roman" w:cs="Times New Roman"/>
                      <w:sz w:val="20"/>
                      <w:szCs w:val="20"/>
                    </w:rPr>
                    <w:t>UFC/ml et utilisé à 1% (1 :1). Les valeurs représentent la moyenne (m) de 9 déterminations ±S</w:t>
                  </w:r>
                  <w:r>
                    <w:rPr>
                      <w:rFonts w:ascii="Times New Roman" w:hAnsi="Times New Roman" w:cs="Times New Roman"/>
                      <w:sz w:val="20"/>
                      <w:szCs w:val="20"/>
                    </w:rPr>
                    <w:t>EM</w:t>
                  </w:r>
                  <w:r w:rsidRPr="008C1A12">
                    <w:rPr>
                      <w:rFonts w:ascii="Times New Roman" w:hAnsi="Times New Roman" w:cs="Times New Roman"/>
                      <w:sz w:val="20"/>
                      <w:szCs w:val="20"/>
                    </w:rPr>
                    <w:t xml:space="preserve"> (n</w:t>
                  </w:r>
                  <w:r>
                    <w:rPr>
                      <w:rFonts w:ascii="Times New Roman" w:hAnsi="Times New Roman" w:cs="Times New Roman"/>
                      <w:sz w:val="20"/>
                      <w:szCs w:val="20"/>
                    </w:rPr>
                    <w:t xml:space="preserve"> </w:t>
                  </w:r>
                  <w:r w:rsidRPr="008C1A12">
                    <w:rPr>
                      <w:rFonts w:ascii="Times New Roman" w:hAnsi="Times New Roman" w:cs="Times New Roman"/>
                      <w:sz w:val="20"/>
                      <w:szCs w:val="20"/>
                    </w:rPr>
                    <w:t>=</w:t>
                  </w:r>
                  <w:r>
                    <w:rPr>
                      <w:rFonts w:ascii="Times New Roman" w:hAnsi="Times New Roman" w:cs="Times New Roman"/>
                      <w:sz w:val="20"/>
                      <w:szCs w:val="20"/>
                    </w:rPr>
                    <w:t xml:space="preserve"> </w:t>
                  </w:r>
                  <w:r w:rsidRPr="008C1A12">
                    <w:rPr>
                      <w:rFonts w:ascii="Times New Roman" w:hAnsi="Times New Roman" w:cs="Times New Roman"/>
                      <w:sz w:val="20"/>
                      <w:szCs w:val="20"/>
                    </w:rPr>
                    <w:t>9).</w:t>
                  </w:r>
                </w:p>
                <w:p w:rsidR="00310CA5" w:rsidRDefault="00310CA5" w:rsidP="006C66E7"/>
              </w:txbxContent>
            </v:textbox>
          </v:shape>
        </w:pict>
      </w:r>
      <w:r w:rsidR="006F133D">
        <w:rPr>
          <w:rFonts w:asciiTheme="majorBidi" w:hAnsiTheme="majorBidi" w:cstheme="majorBidi"/>
          <w:noProof/>
          <w:lang w:eastAsia="fr-FR"/>
        </w:rPr>
        <w:pict>
          <v:shape id="_x0000_s2154" type="#_x0000_t202" style="position:absolute;margin-left:1.35pt;margin-top:-7.4pt;width:436.5pt;height:686.25pt;z-index:251766784">
            <v:textbox>
              <w:txbxContent>
                <w:p w:rsidR="00310CA5" w:rsidRDefault="00310CA5" w:rsidP="006C66E7"/>
              </w:txbxContent>
            </v:textbox>
          </v:shape>
        </w:pict>
      </w:r>
      <w:r w:rsidR="006F133D">
        <w:rPr>
          <w:rFonts w:asciiTheme="majorBidi" w:hAnsiTheme="majorBidi" w:cstheme="majorBidi"/>
          <w:noProof/>
          <w:lang w:eastAsia="fr-FR"/>
        </w:rPr>
        <w:pict>
          <v:shape id="_x0000_s2165" type="#_x0000_t202" style="position:absolute;margin-left:10.35pt;margin-top:339.1pt;width:414pt;height:222pt;z-index:251778048" strokecolor="white [3212]">
            <v:textbox>
              <w:txbxContent>
                <w:p w:rsidR="00310CA5" w:rsidRDefault="00310CA5" w:rsidP="006C66E7">
                  <w:pPr>
                    <w:ind w:firstLine="0"/>
                  </w:pPr>
                  <w:r w:rsidRPr="00430E03">
                    <w:rPr>
                      <w:noProof/>
                      <w:lang w:eastAsia="fr-FR"/>
                    </w:rPr>
                    <w:drawing>
                      <wp:inline distT="0" distB="0" distL="0" distR="0">
                        <wp:extent cx="4991100" cy="2590800"/>
                        <wp:effectExtent l="19050" t="0" r="19050" b="0"/>
                        <wp:docPr id="917" name="Graphique 91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1"/>
                          </a:graphicData>
                        </a:graphic>
                      </wp:inline>
                    </w:drawing>
                  </w:r>
                </w:p>
              </w:txbxContent>
            </v:textbox>
          </v:shape>
        </w:pict>
      </w:r>
      <w:r w:rsidR="006F133D">
        <w:rPr>
          <w:rFonts w:asciiTheme="majorBidi" w:hAnsiTheme="majorBidi" w:cstheme="majorBidi"/>
          <w:noProof/>
          <w:lang w:eastAsia="fr-FR"/>
        </w:rPr>
        <w:pict>
          <v:shape id="_x0000_s2163" type="#_x0000_t202" style="position:absolute;margin-left:14.85pt;margin-top:3.85pt;width:414pt;height:216.75pt;z-index:251776000" strokecolor="white [3212]">
            <v:textbox>
              <w:txbxContent>
                <w:p w:rsidR="00310CA5" w:rsidRDefault="00310CA5" w:rsidP="006C66E7">
                  <w:pPr>
                    <w:ind w:firstLine="0"/>
                  </w:pPr>
                  <w:r w:rsidRPr="00430E03">
                    <w:rPr>
                      <w:noProof/>
                      <w:lang w:eastAsia="fr-FR"/>
                    </w:rPr>
                    <w:drawing>
                      <wp:inline distT="0" distB="0" distL="0" distR="0">
                        <wp:extent cx="4895850" cy="2609850"/>
                        <wp:effectExtent l="19050" t="0" r="19050" b="0"/>
                        <wp:docPr id="916" name="Graphique 916"/>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82"/>
                          </a:graphicData>
                        </a:graphic>
                      </wp:inline>
                    </w:drawing>
                  </w:r>
                </w:p>
              </w:txbxContent>
            </v:textbox>
          </v:shape>
        </w:pict>
      </w:r>
      <w:r w:rsidR="006C66E7">
        <w:rPr>
          <w:rFonts w:asciiTheme="majorBidi" w:hAnsiTheme="majorBidi" w:cstheme="majorBidi"/>
        </w:rPr>
        <w:br w:type="page"/>
      </w: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lastRenderedPageBreak/>
        <w:t xml:space="preserve">L’addition de concentré de protéines de lactosérum avait donné une double production d’EPS par la bactérie lactique </w:t>
      </w:r>
      <w:r w:rsidRPr="00AF0372">
        <w:rPr>
          <w:rFonts w:asciiTheme="majorBidi" w:hAnsiTheme="majorBidi" w:cstheme="majorBidi"/>
          <w:i/>
          <w:iCs/>
        </w:rPr>
        <w:t>Streptococcus</w:t>
      </w:r>
      <w:r w:rsidRPr="0067253E">
        <w:rPr>
          <w:rFonts w:asciiTheme="majorBidi" w:hAnsiTheme="majorBidi" w:cstheme="majorBidi"/>
        </w:rPr>
        <w:t xml:space="preserve"> </w:t>
      </w:r>
      <w:r w:rsidRPr="00AF0372">
        <w:rPr>
          <w:rFonts w:asciiTheme="majorBidi" w:hAnsiTheme="majorBidi" w:cstheme="majorBidi"/>
          <w:i/>
          <w:iCs/>
        </w:rPr>
        <w:t>thermophilus</w:t>
      </w:r>
      <w:r w:rsidRPr="0067253E">
        <w:rPr>
          <w:rFonts w:asciiTheme="majorBidi" w:hAnsiTheme="majorBidi" w:cstheme="majorBidi"/>
        </w:rPr>
        <w:t xml:space="preserve"> 1275, sans affecter la croissance de cette souche </w:t>
      </w:r>
      <w:r w:rsidRPr="00DF5471">
        <w:rPr>
          <w:rFonts w:asciiTheme="majorBidi" w:hAnsiTheme="majorBidi" w:cstheme="majorBidi"/>
          <w:color w:val="0000FF"/>
        </w:rPr>
        <w:t>(Zisu et Shah, 2003)</w:t>
      </w:r>
      <w:r w:rsidRPr="0067253E">
        <w:rPr>
          <w:rFonts w:asciiTheme="majorBidi" w:hAnsiTheme="majorBidi" w:cstheme="majorBidi"/>
        </w:rPr>
        <w:t xml:space="preserve">. Tandis qu’il a été observé que les protéines du lait ont stimuler la formation de la capsule de Lactobacillus bulgaricus et </w:t>
      </w:r>
      <w:r w:rsidRPr="00AF0372">
        <w:rPr>
          <w:rFonts w:asciiTheme="majorBidi" w:hAnsiTheme="majorBidi" w:cstheme="majorBidi"/>
          <w:i/>
          <w:iCs/>
        </w:rPr>
        <w:t>Streptococcus</w:t>
      </w:r>
      <w:r w:rsidRPr="0067253E">
        <w:rPr>
          <w:rFonts w:asciiTheme="majorBidi" w:hAnsiTheme="majorBidi" w:cstheme="majorBidi"/>
        </w:rPr>
        <w:t xml:space="preserve"> </w:t>
      </w:r>
      <w:r w:rsidRPr="00AF0372">
        <w:rPr>
          <w:rFonts w:asciiTheme="majorBidi" w:hAnsiTheme="majorBidi" w:cstheme="majorBidi"/>
          <w:i/>
          <w:iCs/>
        </w:rPr>
        <w:t>thermophilus</w:t>
      </w:r>
      <w:r w:rsidRPr="0067253E">
        <w:rPr>
          <w:rFonts w:asciiTheme="majorBidi" w:hAnsiTheme="majorBidi" w:cstheme="majorBidi"/>
        </w:rPr>
        <w:t xml:space="preserve"> </w:t>
      </w:r>
      <w:r w:rsidRPr="00DF5471">
        <w:rPr>
          <w:rFonts w:asciiTheme="majorBidi" w:hAnsiTheme="majorBidi" w:cstheme="majorBidi"/>
          <w:color w:val="0000FF"/>
        </w:rPr>
        <w:t>(Hassan et al., 2001)</w:t>
      </w:r>
      <w:r w:rsidRPr="0067253E">
        <w:rPr>
          <w:rFonts w:asciiTheme="majorBidi" w:hAnsiTheme="majorBidi" w:cstheme="majorBidi"/>
        </w:rPr>
        <w:t>.</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Le remplacement de l’hydrolysat de caséine par les protéines du lactosérum modifie la texture et la qualité sensorielle du lait fermenté </w:t>
      </w:r>
      <w:r w:rsidRPr="00DF5471">
        <w:rPr>
          <w:rFonts w:asciiTheme="majorBidi" w:hAnsiTheme="majorBidi" w:cstheme="majorBidi"/>
          <w:color w:val="0000FF"/>
        </w:rPr>
        <w:t>(Schkoda, 2003)</w:t>
      </w:r>
      <w:r w:rsidRPr="0067253E">
        <w:rPr>
          <w:rFonts w:asciiTheme="majorBidi" w:hAnsiTheme="majorBidi" w:cstheme="majorBidi"/>
        </w:rPr>
        <w:t>.</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La production d’EPS par la souche </w:t>
      </w:r>
      <w:r w:rsidRPr="00AF0372">
        <w:rPr>
          <w:rFonts w:asciiTheme="majorBidi" w:hAnsiTheme="majorBidi" w:cstheme="majorBidi"/>
          <w:i/>
          <w:iCs/>
        </w:rPr>
        <w:t>Lactobacillus</w:t>
      </w:r>
      <w:r w:rsidRPr="0067253E">
        <w:rPr>
          <w:rFonts w:asciiTheme="majorBidi" w:hAnsiTheme="majorBidi" w:cstheme="majorBidi"/>
        </w:rPr>
        <w:t xml:space="preserve"> </w:t>
      </w:r>
      <w:r w:rsidRPr="00AF0372">
        <w:rPr>
          <w:rFonts w:asciiTheme="majorBidi" w:hAnsiTheme="majorBidi" w:cstheme="majorBidi"/>
          <w:i/>
          <w:iCs/>
        </w:rPr>
        <w:t>rhamnosus</w:t>
      </w:r>
      <w:r w:rsidRPr="0067253E">
        <w:rPr>
          <w:rFonts w:asciiTheme="majorBidi" w:hAnsiTheme="majorBidi" w:cstheme="majorBidi"/>
        </w:rPr>
        <w:t xml:space="preserve"> ETCC 9595 était entre 933 et 1275 mg/l d’EPS, et la souche </w:t>
      </w:r>
      <w:r w:rsidRPr="00AF0372">
        <w:rPr>
          <w:rFonts w:asciiTheme="majorBidi" w:hAnsiTheme="majorBidi" w:cstheme="majorBidi"/>
          <w:i/>
          <w:iCs/>
        </w:rPr>
        <w:t>Lb</w:t>
      </w:r>
      <w:r w:rsidRPr="0067253E">
        <w:rPr>
          <w:rFonts w:asciiTheme="majorBidi" w:hAnsiTheme="majorBidi" w:cstheme="majorBidi"/>
        </w:rPr>
        <w:t xml:space="preserve">. </w:t>
      </w:r>
      <w:r w:rsidRPr="00AF0372">
        <w:rPr>
          <w:rFonts w:asciiTheme="majorBidi" w:hAnsiTheme="majorBidi" w:cstheme="majorBidi"/>
          <w:i/>
          <w:iCs/>
        </w:rPr>
        <w:t>rhamnosus</w:t>
      </w:r>
      <w:r w:rsidRPr="0067253E">
        <w:rPr>
          <w:rFonts w:asciiTheme="majorBidi" w:hAnsiTheme="majorBidi" w:cstheme="majorBidi"/>
        </w:rPr>
        <w:t xml:space="preserve"> Rosell produit entre 438 et 601 mg/l d’EPS et finalem</w:t>
      </w:r>
      <w:r>
        <w:rPr>
          <w:rFonts w:asciiTheme="majorBidi" w:hAnsiTheme="majorBidi" w:cstheme="majorBidi"/>
        </w:rPr>
        <w:t>e</w:t>
      </w:r>
      <w:r w:rsidRPr="0067253E">
        <w:rPr>
          <w:rFonts w:asciiTheme="majorBidi" w:hAnsiTheme="majorBidi" w:cstheme="majorBidi"/>
        </w:rPr>
        <w:t xml:space="preserve">nt la souche </w:t>
      </w:r>
      <w:r w:rsidRPr="00AF0372">
        <w:rPr>
          <w:rFonts w:asciiTheme="majorBidi" w:hAnsiTheme="majorBidi" w:cstheme="majorBidi"/>
          <w:i/>
          <w:iCs/>
        </w:rPr>
        <w:t>Lb</w:t>
      </w:r>
      <w:r w:rsidRPr="0067253E">
        <w:rPr>
          <w:rFonts w:asciiTheme="majorBidi" w:hAnsiTheme="majorBidi" w:cstheme="majorBidi"/>
        </w:rPr>
        <w:t xml:space="preserve">. </w:t>
      </w:r>
      <w:r w:rsidRPr="00AF0372">
        <w:rPr>
          <w:rFonts w:asciiTheme="majorBidi" w:hAnsiTheme="majorBidi" w:cstheme="majorBidi"/>
          <w:i/>
          <w:iCs/>
        </w:rPr>
        <w:t>casei</w:t>
      </w:r>
      <w:r w:rsidRPr="0067253E">
        <w:rPr>
          <w:rFonts w:asciiTheme="majorBidi" w:hAnsiTheme="majorBidi" w:cstheme="majorBidi"/>
        </w:rPr>
        <w:t xml:space="preserve"> type V produit entre 67 et 93 mg/l d’EPS </w:t>
      </w:r>
      <w:r w:rsidRPr="00DF5471">
        <w:rPr>
          <w:rFonts w:asciiTheme="majorBidi" w:hAnsiTheme="majorBidi" w:cstheme="majorBidi"/>
          <w:color w:val="0000FF"/>
        </w:rPr>
        <w:t>(Dupont, 1998)</w:t>
      </w:r>
      <w:r w:rsidRPr="0067253E">
        <w:rPr>
          <w:rFonts w:asciiTheme="majorBidi" w:hAnsiTheme="majorBidi" w:cstheme="majorBidi"/>
        </w:rPr>
        <w:t>.</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Le pH, la température et la source de carbone sont les paramètres qui influencent sur la production d’EPS </w:t>
      </w:r>
      <w:r w:rsidRPr="00DF5471">
        <w:rPr>
          <w:rFonts w:asciiTheme="majorBidi" w:hAnsiTheme="majorBidi" w:cstheme="majorBidi"/>
          <w:color w:val="0000FF"/>
        </w:rPr>
        <w:t>(Gamar et al., 1997)</w:t>
      </w:r>
      <w:r w:rsidRPr="0067253E">
        <w:rPr>
          <w:rFonts w:asciiTheme="majorBidi" w:hAnsiTheme="majorBidi" w:cstheme="majorBidi"/>
        </w:rPr>
        <w:t>.</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L’effet de la température sur la production d’EPS varie d’une souche à l’autre. </w:t>
      </w:r>
      <w:r w:rsidRPr="00AF0372">
        <w:rPr>
          <w:rFonts w:asciiTheme="majorBidi" w:hAnsiTheme="majorBidi" w:cstheme="majorBidi"/>
          <w:i/>
          <w:iCs/>
        </w:rPr>
        <w:t>Lb</w:t>
      </w:r>
      <w:r w:rsidRPr="0067253E">
        <w:rPr>
          <w:rFonts w:asciiTheme="majorBidi" w:hAnsiTheme="majorBidi" w:cstheme="majorBidi"/>
        </w:rPr>
        <w:t xml:space="preserve">. </w:t>
      </w:r>
      <w:r w:rsidRPr="00AF0372">
        <w:rPr>
          <w:rFonts w:asciiTheme="majorBidi" w:hAnsiTheme="majorBidi" w:cstheme="majorBidi"/>
          <w:i/>
          <w:iCs/>
        </w:rPr>
        <w:t>rhamnosus</w:t>
      </w:r>
      <w:r w:rsidRPr="0067253E">
        <w:rPr>
          <w:rFonts w:asciiTheme="majorBidi" w:hAnsiTheme="majorBidi" w:cstheme="majorBidi"/>
        </w:rPr>
        <w:t xml:space="preserve"> </w:t>
      </w:r>
      <w:r w:rsidRPr="00DF5471">
        <w:rPr>
          <w:rFonts w:asciiTheme="majorBidi" w:hAnsiTheme="majorBidi" w:cstheme="majorBidi"/>
          <w:color w:val="0000FF"/>
        </w:rPr>
        <w:t>(Gamar et al., 1997)</w:t>
      </w:r>
      <w:r w:rsidRPr="0067253E">
        <w:rPr>
          <w:rFonts w:asciiTheme="majorBidi" w:hAnsiTheme="majorBidi" w:cstheme="majorBidi"/>
        </w:rPr>
        <w:t xml:space="preserve"> et Lb. casei </w:t>
      </w:r>
      <w:r w:rsidRPr="00DF5471">
        <w:rPr>
          <w:rFonts w:asciiTheme="majorBidi" w:hAnsiTheme="majorBidi" w:cstheme="majorBidi"/>
          <w:color w:val="0000FF"/>
        </w:rPr>
        <w:t>(Kojic, 1992)</w:t>
      </w:r>
      <w:r w:rsidRPr="0067253E">
        <w:rPr>
          <w:rFonts w:asciiTheme="majorBidi" w:hAnsiTheme="majorBidi" w:cstheme="majorBidi"/>
        </w:rPr>
        <w:t xml:space="preserve"> produisent plus d’EPS à une basse température alors que pour </w:t>
      </w:r>
      <w:r w:rsidRPr="00AF0372">
        <w:rPr>
          <w:rFonts w:asciiTheme="majorBidi" w:hAnsiTheme="majorBidi" w:cstheme="majorBidi"/>
          <w:i/>
          <w:iCs/>
        </w:rPr>
        <w:t>Lb</w:t>
      </w:r>
      <w:r w:rsidRPr="0067253E">
        <w:rPr>
          <w:rFonts w:asciiTheme="majorBidi" w:hAnsiTheme="majorBidi" w:cstheme="majorBidi"/>
        </w:rPr>
        <w:t xml:space="preserve">. </w:t>
      </w:r>
      <w:r w:rsidRPr="00AF0372">
        <w:rPr>
          <w:rFonts w:asciiTheme="majorBidi" w:hAnsiTheme="majorBidi" w:cstheme="majorBidi"/>
          <w:i/>
          <w:iCs/>
        </w:rPr>
        <w:t>bulgaricus</w:t>
      </w:r>
      <w:r w:rsidRPr="0067253E">
        <w:rPr>
          <w:rFonts w:asciiTheme="majorBidi" w:hAnsiTheme="majorBidi" w:cstheme="majorBidi"/>
        </w:rPr>
        <w:t xml:space="preserve"> </w:t>
      </w:r>
      <w:r w:rsidRPr="00DF5471">
        <w:rPr>
          <w:rFonts w:asciiTheme="majorBidi" w:hAnsiTheme="majorBidi" w:cstheme="majorBidi"/>
          <w:color w:val="0000FF"/>
        </w:rPr>
        <w:t>(Garcia-Garibay et Marshall, 1991 ; Grobben, 1995)</w:t>
      </w:r>
      <w:r w:rsidRPr="0067253E">
        <w:rPr>
          <w:rFonts w:asciiTheme="majorBidi" w:hAnsiTheme="majorBidi" w:cstheme="majorBidi"/>
        </w:rPr>
        <w:t xml:space="preserve"> la production est stimulée à une température élevée.</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La température idéale de production d’EPS par </w:t>
      </w:r>
      <w:r w:rsidRPr="00AF0372">
        <w:rPr>
          <w:rFonts w:asciiTheme="majorBidi" w:hAnsiTheme="majorBidi" w:cstheme="majorBidi"/>
          <w:i/>
          <w:iCs/>
        </w:rPr>
        <w:t>Lactobacillus</w:t>
      </w:r>
      <w:r w:rsidRPr="0067253E">
        <w:rPr>
          <w:rFonts w:asciiTheme="majorBidi" w:hAnsiTheme="majorBidi" w:cstheme="majorBidi"/>
        </w:rPr>
        <w:t xml:space="preserve"> </w:t>
      </w:r>
      <w:r w:rsidRPr="00AF0372">
        <w:rPr>
          <w:rFonts w:asciiTheme="majorBidi" w:hAnsiTheme="majorBidi" w:cstheme="majorBidi"/>
          <w:i/>
          <w:iCs/>
        </w:rPr>
        <w:t>delbruekii</w:t>
      </w:r>
      <w:r w:rsidRPr="0067253E">
        <w:rPr>
          <w:rFonts w:asciiTheme="majorBidi" w:hAnsiTheme="majorBidi" w:cstheme="majorBidi"/>
        </w:rPr>
        <w:t xml:space="preserve"> ssp </w:t>
      </w:r>
      <w:r w:rsidRPr="00AF0372">
        <w:rPr>
          <w:rFonts w:asciiTheme="majorBidi" w:hAnsiTheme="majorBidi" w:cstheme="majorBidi"/>
          <w:i/>
          <w:iCs/>
        </w:rPr>
        <w:t>bulgaricus</w:t>
      </w:r>
      <w:r w:rsidRPr="0067253E">
        <w:rPr>
          <w:rFonts w:asciiTheme="majorBidi" w:hAnsiTheme="majorBidi" w:cstheme="majorBidi"/>
        </w:rPr>
        <w:t xml:space="preserve"> RR </w:t>
      </w:r>
      <w:r w:rsidRPr="00DF5471">
        <w:rPr>
          <w:rFonts w:asciiTheme="majorBidi" w:hAnsiTheme="majorBidi" w:cstheme="majorBidi"/>
          <w:color w:val="0000FF"/>
        </w:rPr>
        <w:t>(Kimmel et al., 1998)</w:t>
      </w:r>
      <w:r w:rsidRPr="0067253E">
        <w:rPr>
          <w:rFonts w:asciiTheme="majorBidi" w:hAnsiTheme="majorBidi" w:cstheme="majorBidi"/>
        </w:rPr>
        <w:t xml:space="preserve"> et </w:t>
      </w:r>
      <w:r w:rsidRPr="00AF0372">
        <w:rPr>
          <w:rFonts w:asciiTheme="majorBidi" w:hAnsiTheme="majorBidi" w:cstheme="majorBidi"/>
          <w:i/>
          <w:iCs/>
        </w:rPr>
        <w:t>Streptococcus</w:t>
      </w:r>
      <w:r w:rsidRPr="0067253E">
        <w:rPr>
          <w:rFonts w:asciiTheme="majorBidi" w:hAnsiTheme="majorBidi" w:cstheme="majorBidi"/>
        </w:rPr>
        <w:t xml:space="preserve"> </w:t>
      </w:r>
      <w:r w:rsidRPr="00AF0372">
        <w:rPr>
          <w:rFonts w:asciiTheme="majorBidi" w:hAnsiTheme="majorBidi" w:cstheme="majorBidi"/>
          <w:i/>
          <w:iCs/>
        </w:rPr>
        <w:t>thermophilus</w:t>
      </w:r>
      <w:r w:rsidRPr="0067253E">
        <w:rPr>
          <w:rFonts w:asciiTheme="majorBidi" w:hAnsiTheme="majorBidi" w:cstheme="majorBidi"/>
        </w:rPr>
        <w:t xml:space="preserve"> LY03 </w:t>
      </w:r>
      <w:r w:rsidRPr="00DF5471">
        <w:rPr>
          <w:rFonts w:asciiTheme="majorBidi" w:hAnsiTheme="majorBidi" w:cstheme="majorBidi"/>
          <w:color w:val="0000FF"/>
        </w:rPr>
        <w:t>(De Vuyst et al., 1998)</w:t>
      </w:r>
      <w:r w:rsidRPr="0067253E">
        <w:rPr>
          <w:rFonts w:asciiTheme="majorBidi" w:hAnsiTheme="majorBidi" w:cstheme="majorBidi"/>
        </w:rPr>
        <w:t xml:space="preserve"> est la même que la température optimale de croissance. Le type de sucre disponible lors de la fermentation influence la production et la composition des polymères produits </w:t>
      </w:r>
      <w:r w:rsidRPr="00DF5471">
        <w:rPr>
          <w:rFonts w:asciiTheme="majorBidi" w:hAnsiTheme="majorBidi" w:cstheme="majorBidi"/>
          <w:color w:val="0000FF"/>
        </w:rPr>
        <w:t>(Manca de Nadra et al., 1985, Van den Berg et al., 1995)</w:t>
      </w:r>
      <w:r w:rsidRPr="0067253E">
        <w:rPr>
          <w:rFonts w:asciiTheme="majorBidi" w:hAnsiTheme="majorBidi" w:cstheme="majorBidi"/>
        </w:rPr>
        <w:t>.</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La souche de </w:t>
      </w:r>
      <w:r w:rsidRPr="00AF0372">
        <w:rPr>
          <w:rFonts w:asciiTheme="majorBidi" w:hAnsiTheme="majorBidi" w:cstheme="majorBidi"/>
          <w:i/>
          <w:iCs/>
        </w:rPr>
        <w:t>Lactobacillus</w:t>
      </w:r>
      <w:r w:rsidRPr="0067253E">
        <w:rPr>
          <w:rFonts w:asciiTheme="majorBidi" w:hAnsiTheme="majorBidi" w:cstheme="majorBidi"/>
        </w:rPr>
        <w:t xml:space="preserve"> </w:t>
      </w:r>
      <w:r w:rsidRPr="00AF0372">
        <w:rPr>
          <w:rFonts w:asciiTheme="majorBidi" w:hAnsiTheme="majorBidi" w:cstheme="majorBidi"/>
          <w:i/>
          <w:iCs/>
        </w:rPr>
        <w:t>casei</w:t>
      </w:r>
      <w:r w:rsidRPr="0067253E">
        <w:rPr>
          <w:rFonts w:asciiTheme="majorBidi" w:hAnsiTheme="majorBidi" w:cstheme="majorBidi"/>
        </w:rPr>
        <w:t xml:space="preserve"> de </w:t>
      </w:r>
      <w:r w:rsidRPr="00DF5471">
        <w:rPr>
          <w:rFonts w:asciiTheme="majorBidi" w:hAnsiTheme="majorBidi" w:cstheme="majorBidi"/>
          <w:color w:val="0000FF"/>
        </w:rPr>
        <w:t>Mozzi (1996)</w:t>
      </w:r>
      <w:r w:rsidRPr="0067253E">
        <w:rPr>
          <w:rFonts w:asciiTheme="majorBidi" w:hAnsiTheme="majorBidi" w:cstheme="majorBidi"/>
        </w:rPr>
        <w:t xml:space="preserve"> produit 488 mg/l d’EPS et </w:t>
      </w:r>
      <w:r w:rsidRPr="00AF0372">
        <w:rPr>
          <w:rFonts w:asciiTheme="majorBidi" w:hAnsiTheme="majorBidi" w:cstheme="majorBidi"/>
          <w:i/>
          <w:iCs/>
        </w:rPr>
        <w:t>Lactobacillus</w:t>
      </w:r>
      <w:r w:rsidRPr="0067253E">
        <w:rPr>
          <w:rFonts w:asciiTheme="majorBidi" w:hAnsiTheme="majorBidi" w:cstheme="majorBidi"/>
        </w:rPr>
        <w:t xml:space="preserve"> </w:t>
      </w:r>
      <w:r w:rsidRPr="00AF0372">
        <w:rPr>
          <w:rFonts w:asciiTheme="majorBidi" w:hAnsiTheme="majorBidi" w:cstheme="majorBidi"/>
          <w:i/>
          <w:iCs/>
        </w:rPr>
        <w:t>delbruekii</w:t>
      </w:r>
      <w:r w:rsidRPr="0067253E">
        <w:rPr>
          <w:rFonts w:asciiTheme="majorBidi" w:hAnsiTheme="majorBidi" w:cstheme="majorBidi"/>
        </w:rPr>
        <w:t xml:space="preserve"> ssp </w:t>
      </w:r>
      <w:r w:rsidRPr="00AF0372">
        <w:rPr>
          <w:rFonts w:asciiTheme="majorBidi" w:hAnsiTheme="majorBidi" w:cstheme="majorBidi"/>
          <w:i/>
          <w:iCs/>
        </w:rPr>
        <w:t>bulgaricus</w:t>
      </w:r>
      <w:r w:rsidRPr="0067253E">
        <w:rPr>
          <w:rFonts w:asciiTheme="majorBidi" w:hAnsiTheme="majorBidi" w:cstheme="majorBidi"/>
        </w:rPr>
        <w:t xml:space="preserve"> RR </w:t>
      </w:r>
      <w:r w:rsidRPr="00DF5471">
        <w:rPr>
          <w:rFonts w:asciiTheme="majorBidi" w:hAnsiTheme="majorBidi" w:cstheme="majorBidi"/>
          <w:color w:val="0000FF"/>
        </w:rPr>
        <w:t>(Kimmel et al., 1998)</w:t>
      </w:r>
      <w:r w:rsidRPr="0067253E">
        <w:rPr>
          <w:rFonts w:asciiTheme="majorBidi" w:hAnsiTheme="majorBidi" w:cstheme="majorBidi"/>
        </w:rPr>
        <w:t xml:space="preserve"> synthétise 354 mg/l d’EPS.</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lastRenderedPageBreak/>
        <w:t>L’intérêt accru des dernières années pour les bactéries lactiques ou bénéfiques productrices d’exopolysaccharides est due principalement à leur capacité à améliorer la texture et à augmenter la viscosité des produits fermentés de type yaourts.</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Pr="0067253E"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 xml:space="preserve">La souche </w:t>
      </w:r>
      <w:r w:rsidRPr="00AF0372">
        <w:rPr>
          <w:rFonts w:asciiTheme="majorBidi" w:hAnsiTheme="majorBidi" w:cstheme="majorBidi"/>
          <w:i/>
          <w:iCs/>
        </w:rPr>
        <w:t>Lactobacillus</w:t>
      </w:r>
      <w:r w:rsidRPr="0067253E">
        <w:rPr>
          <w:rFonts w:asciiTheme="majorBidi" w:hAnsiTheme="majorBidi" w:cstheme="majorBidi"/>
        </w:rPr>
        <w:t xml:space="preserve"> </w:t>
      </w:r>
      <w:r w:rsidRPr="00AF0372">
        <w:rPr>
          <w:rFonts w:asciiTheme="majorBidi" w:hAnsiTheme="majorBidi" w:cstheme="majorBidi"/>
          <w:i/>
          <w:iCs/>
        </w:rPr>
        <w:t>plantarum</w:t>
      </w:r>
      <w:r w:rsidRPr="0067253E">
        <w:rPr>
          <w:rFonts w:asciiTheme="majorBidi" w:hAnsiTheme="majorBidi" w:cstheme="majorBidi"/>
        </w:rPr>
        <w:t xml:space="preserve"> EP56 a produit 35.6 mg/l d’EPS à 37°C alors que à 25°C une augmentation jusqu’à 135.8 mg/l.</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b/>
          <w:bCs/>
        </w:rPr>
      </w:pPr>
      <w:r w:rsidRPr="0067253E">
        <w:rPr>
          <w:rFonts w:asciiTheme="majorBidi" w:hAnsiTheme="majorBidi" w:cstheme="majorBidi"/>
          <w:b/>
          <w:bCs/>
        </w:rPr>
        <w:t>V.3.2. La viscosité du lait fermenté par différents types de culture</w:t>
      </w:r>
      <w:r>
        <w:rPr>
          <w:rFonts w:asciiTheme="majorBidi" w:hAnsiTheme="majorBidi" w:cstheme="majorBidi"/>
          <w:b/>
          <w:bCs/>
        </w:rPr>
        <w:t>.</w:t>
      </w:r>
    </w:p>
    <w:p w:rsidR="006C66E7" w:rsidRPr="0067253E" w:rsidRDefault="006C66E7" w:rsidP="006C66E7">
      <w:pPr>
        <w:spacing w:before="0" w:after="0" w:line="360" w:lineRule="auto"/>
        <w:ind w:firstLine="360"/>
        <w:contextualSpacing/>
        <w:jc w:val="both"/>
        <w:rPr>
          <w:rFonts w:asciiTheme="majorBidi" w:hAnsiTheme="majorBidi" w:cstheme="majorBidi"/>
          <w:b/>
          <w:bCs/>
        </w:rPr>
      </w:pPr>
    </w:p>
    <w:p w:rsidR="006C66E7" w:rsidRPr="0067253E"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La viscosité du lait fermenté par différents types de culture en absence ou en présence d’ingrédients protéiques laitiers au 14</w:t>
      </w:r>
      <w:r w:rsidRPr="0067253E">
        <w:rPr>
          <w:rFonts w:asciiTheme="majorBidi" w:hAnsiTheme="majorBidi" w:cstheme="majorBidi"/>
          <w:vertAlign w:val="superscript"/>
        </w:rPr>
        <w:t>ème</w:t>
      </w:r>
      <w:r w:rsidRPr="0067253E">
        <w:rPr>
          <w:rFonts w:asciiTheme="majorBidi" w:hAnsiTheme="majorBidi" w:cstheme="majorBidi"/>
        </w:rPr>
        <w:t xml:space="preserve"> jour d’entreposage à 4°C est indiquée dans les </w:t>
      </w:r>
      <w:r w:rsidRPr="00064862">
        <w:rPr>
          <w:rFonts w:asciiTheme="majorBidi" w:hAnsiTheme="majorBidi" w:cstheme="majorBidi"/>
          <w:color w:val="0000FF"/>
        </w:rPr>
        <w:t>figures 17, 18 et 21</w:t>
      </w:r>
      <w:r>
        <w:rPr>
          <w:rFonts w:asciiTheme="majorBidi" w:hAnsiTheme="majorBidi" w:cstheme="majorBidi"/>
          <w:color w:val="0000FF"/>
        </w:rPr>
        <w:t>.</w:t>
      </w: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Des différences significatives (P&lt;0.05) avaient observé dans la viscosité du lait fermenté par différents types de culture en présence des ingrédients protéiques laitiers.</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sidRPr="0067253E">
        <w:rPr>
          <w:rFonts w:asciiTheme="majorBidi" w:hAnsiTheme="majorBidi" w:cstheme="majorBidi"/>
        </w:rPr>
        <w:t>Les souches bénéfiques LbRE-LSAS et Lba CECT4529</w:t>
      </w:r>
      <w:r>
        <w:rPr>
          <w:rFonts w:asciiTheme="majorBidi" w:hAnsiTheme="majorBidi" w:cstheme="majorBidi"/>
        </w:rPr>
        <w:t>,</w:t>
      </w:r>
      <w:r w:rsidRPr="0067253E">
        <w:rPr>
          <w:rFonts w:asciiTheme="majorBidi" w:hAnsiTheme="majorBidi" w:cstheme="majorBidi"/>
        </w:rPr>
        <w:t xml:space="preserve"> respectivement</w:t>
      </w:r>
      <w:r>
        <w:rPr>
          <w:rFonts w:asciiTheme="majorBidi" w:hAnsiTheme="majorBidi" w:cstheme="majorBidi"/>
        </w:rPr>
        <w:t>,</w:t>
      </w:r>
      <w:r w:rsidRPr="0067253E">
        <w:rPr>
          <w:rFonts w:asciiTheme="majorBidi" w:hAnsiTheme="majorBidi" w:cstheme="majorBidi"/>
        </w:rPr>
        <w:t xml:space="preserve"> avaient une meilleure viscosité en présence de lactosérum doux (116.96 et 111.81 mPa.s) et Promilk C502 (140.15 et 124.43 mPas)</w:t>
      </w:r>
      <w:r>
        <w:rPr>
          <w:rFonts w:asciiTheme="majorBidi" w:hAnsiTheme="majorBidi" w:cstheme="majorBidi"/>
        </w:rPr>
        <w:t>, et dans le même ordre avec une augmentation de 77.73 et 100.92 mPa.s et 67.66 et 80.28 m.Pa.s.</w:t>
      </w:r>
    </w:p>
    <w:p w:rsidR="006C66E7"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hAnsiTheme="majorBidi" w:cstheme="majorBidi"/>
        </w:rPr>
      </w:pPr>
      <w:r>
        <w:rPr>
          <w:rFonts w:asciiTheme="majorBidi" w:hAnsiTheme="majorBidi" w:cstheme="majorBidi"/>
        </w:rPr>
        <w:t>Nos résultats, montre que la présence de Lb. bulgaricus avec les souches bénéfiques diminue le taux de la viscosité.</w:t>
      </w:r>
    </w:p>
    <w:p w:rsidR="006C66E7" w:rsidRDefault="006C66E7" w:rsidP="006C66E7">
      <w:pPr>
        <w:spacing w:before="0" w:after="0" w:line="360" w:lineRule="auto"/>
        <w:ind w:firstLine="360"/>
        <w:contextualSpacing/>
        <w:jc w:val="both"/>
        <w:rPr>
          <w:rFonts w:asciiTheme="majorBidi" w:hAnsiTheme="majorBidi" w:cstheme="majorBidi"/>
        </w:rPr>
      </w:pPr>
    </w:p>
    <w:p w:rsidR="006C66E7" w:rsidRDefault="006C66E7" w:rsidP="006C66E7">
      <w:pPr>
        <w:spacing w:before="0" w:after="0" w:line="360" w:lineRule="auto"/>
        <w:ind w:firstLine="360"/>
        <w:contextualSpacing/>
        <w:jc w:val="both"/>
        <w:rPr>
          <w:rFonts w:asciiTheme="majorBidi" w:eastAsia="Times New Roman" w:hAnsiTheme="majorBidi" w:cstheme="majorBidi"/>
          <w:lang w:eastAsia="fr-FR"/>
        </w:rPr>
      </w:pPr>
      <w:r w:rsidRPr="000E656C">
        <w:rPr>
          <w:rFonts w:asciiTheme="majorBidi" w:eastAsia="Times New Roman" w:hAnsiTheme="majorBidi" w:cstheme="majorBidi"/>
          <w:lang w:eastAsia="fr-FR"/>
        </w:rPr>
        <w:t xml:space="preserve">Des </w:t>
      </w:r>
      <w:r w:rsidRPr="0067253E">
        <w:rPr>
          <w:rFonts w:asciiTheme="majorBidi" w:eastAsia="Times New Roman" w:hAnsiTheme="majorBidi" w:cstheme="majorBidi"/>
          <w:lang w:eastAsia="fr-FR"/>
        </w:rPr>
        <w:t xml:space="preserve"> </w:t>
      </w:r>
      <w:r w:rsidRPr="000E656C">
        <w:rPr>
          <w:rFonts w:asciiTheme="majorBidi" w:eastAsia="Times New Roman" w:hAnsiTheme="majorBidi" w:cstheme="majorBidi"/>
          <w:lang w:eastAsia="fr-FR"/>
        </w:rPr>
        <w:t>différences (P</w:t>
      </w:r>
      <w:r w:rsidRPr="0067253E">
        <w:rPr>
          <w:rFonts w:asciiTheme="majorBidi" w:eastAsia="Times New Roman" w:hAnsiTheme="majorBidi" w:cstheme="majorBidi"/>
          <w:lang w:eastAsia="fr-FR"/>
        </w:rPr>
        <w:t>&lt;</w:t>
      </w:r>
      <w:r w:rsidRPr="000E656C">
        <w:rPr>
          <w:rFonts w:asciiTheme="majorBidi" w:eastAsia="Times New Roman" w:hAnsiTheme="majorBidi" w:cstheme="majorBidi"/>
          <w:lang w:eastAsia="fr-FR"/>
        </w:rPr>
        <w:t>0</w:t>
      </w:r>
      <w:r w:rsidRPr="0067253E">
        <w:rPr>
          <w:rFonts w:asciiTheme="majorBidi" w:eastAsia="Times New Roman" w:hAnsiTheme="majorBidi" w:cstheme="majorBidi"/>
          <w:lang w:eastAsia="fr-FR"/>
        </w:rPr>
        <w:t>.</w:t>
      </w:r>
      <w:r w:rsidRPr="000E656C">
        <w:rPr>
          <w:rFonts w:asciiTheme="majorBidi" w:eastAsia="Times New Roman" w:hAnsiTheme="majorBidi" w:cstheme="majorBidi"/>
          <w:lang w:eastAsia="fr-FR"/>
        </w:rPr>
        <w:t>001) ont été</w:t>
      </w:r>
      <w:r w:rsidRPr="0067253E">
        <w:rPr>
          <w:rFonts w:asciiTheme="majorBidi" w:eastAsia="Times New Roman" w:hAnsiTheme="majorBidi" w:cstheme="majorBidi"/>
          <w:lang w:eastAsia="fr-FR"/>
        </w:rPr>
        <w:t xml:space="preserve"> observées dans la viscosité du yaourt</w:t>
      </w:r>
      <w:r w:rsidRPr="000E656C">
        <w:rPr>
          <w:rFonts w:asciiTheme="majorBidi" w:eastAsia="Times New Roman" w:hAnsiTheme="majorBidi" w:cstheme="majorBidi"/>
          <w:lang w:eastAsia="fr-FR"/>
        </w:rPr>
        <w:t xml:space="preserve"> avec différentes combinaisons de </w:t>
      </w:r>
      <w:r w:rsidRPr="0067253E">
        <w:rPr>
          <w:rFonts w:asciiTheme="majorBidi" w:eastAsia="Times New Roman" w:hAnsiTheme="majorBidi" w:cstheme="majorBidi"/>
          <w:lang w:eastAsia="fr-FR"/>
        </w:rPr>
        <w:t xml:space="preserve"> ferments lactique</w:t>
      </w:r>
      <w:r w:rsidRPr="000E656C">
        <w:rPr>
          <w:rFonts w:asciiTheme="majorBidi" w:eastAsia="Times New Roman" w:hAnsiTheme="majorBidi" w:cstheme="majorBidi"/>
          <w:lang w:eastAsia="fr-FR"/>
        </w:rPr>
        <w:t xml:space="preserve">s. Le </w:t>
      </w:r>
      <w:r w:rsidRPr="0067253E">
        <w:rPr>
          <w:rFonts w:asciiTheme="majorBidi" w:eastAsia="Times New Roman" w:hAnsiTheme="majorBidi" w:cstheme="majorBidi"/>
          <w:lang w:eastAsia="fr-FR"/>
        </w:rPr>
        <w:t xml:space="preserve">yaourt le </w:t>
      </w:r>
      <w:r w:rsidRPr="000E656C">
        <w:rPr>
          <w:rFonts w:asciiTheme="majorBidi" w:eastAsia="Times New Roman" w:hAnsiTheme="majorBidi" w:cstheme="majorBidi"/>
          <w:lang w:eastAsia="fr-FR"/>
        </w:rPr>
        <w:t xml:space="preserve">plus visqueux, a été </w:t>
      </w:r>
      <w:r w:rsidRPr="0067253E">
        <w:rPr>
          <w:rFonts w:asciiTheme="majorBidi" w:eastAsia="Times New Roman" w:hAnsiTheme="majorBidi" w:cstheme="majorBidi"/>
          <w:lang w:eastAsia="fr-FR"/>
        </w:rPr>
        <w:t>remarqué chez le lait fermenté par la culture mixte par les deux bactéries lactiques</w:t>
      </w:r>
      <w:r w:rsidRPr="000E656C">
        <w:rPr>
          <w:rFonts w:asciiTheme="majorBidi" w:eastAsia="Times New Roman" w:hAnsiTheme="majorBidi" w:cstheme="majorBidi"/>
          <w:lang w:eastAsia="fr-FR"/>
        </w:rPr>
        <w:t xml:space="preserve">. L'ajout de </w:t>
      </w:r>
      <w:r w:rsidRPr="00AF0372">
        <w:rPr>
          <w:rFonts w:asciiTheme="majorBidi" w:eastAsia="Times New Roman" w:hAnsiTheme="majorBidi" w:cstheme="majorBidi"/>
          <w:i/>
          <w:iCs/>
          <w:lang w:eastAsia="fr-FR"/>
        </w:rPr>
        <w:t>Lb</w:t>
      </w:r>
      <w:r w:rsidRPr="000E656C">
        <w:rPr>
          <w:rFonts w:asciiTheme="majorBidi" w:eastAsia="Times New Roman" w:hAnsiTheme="majorBidi" w:cstheme="majorBidi"/>
          <w:lang w:eastAsia="fr-FR"/>
        </w:rPr>
        <w:t xml:space="preserve">. </w:t>
      </w:r>
      <w:r w:rsidRPr="00AF0372">
        <w:rPr>
          <w:rFonts w:asciiTheme="majorBidi" w:eastAsia="Times New Roman" w:hAnsiTheme="majorBidi" w:cstheme="majorBidi"/>
          <w:i/>
          <w:iCs/>
          <w:lang w:eastAsia="fr-FR"/>
        </w:rPr>
        <w:t>delbrueckii</w:t>
      </w:r>
      <w:r w:rsidRPr="000E656C">
        <w:rPr>
          <w:rFonts w:asciiTheme="majorBidi" w:eastAsia="Times New Roman" w:hAnsiTheme="majorBidi" w:cstheme="majorBidi"/>
          <w:lang w:eastAsia="fr-FR"/>
        </w:rPr>
        <w:t xml:space="preserve"> </w:t>
      </w:r>
      <w:r w:rsidRPr="0067253E">
        <w:rPr>
          <w:rFonts w:asciiTheme="majorBidi" w:eastAsia="Times New Roman" w:hAnsiTheme="majorBidi" w:cstheme="majorBidi"/>
          <w:lang w:eastAsia="fr-FR"/>
        </w:rPr>
        <w:t>ss</w:t>
      </w:r>
      <w:r w:rsidRPr="000E656C">
        <w:rPr>
          <w:rFonts w:asciiTheme="majorBidi" w:eastAsia="Times New Roman" w:hAnsiTheme="majorBidi" w:cstheme="majorBidi"/>
          <w:lang w:eastAsia="fr-FR"/>
        </w:rPr>
        <w:t xml:space="preserve">p. </w:t>
      </w:r>
      <w:r w:rsidRPr="00AF0372">
        <w:rPr>
          <w:rFonts w:asciiTheme="majorBidi" w:eastAsia="Times New Roman" w:hAnsiTheme="majorBidi" w:cstheme="majorBidi"/>
          <w:i/>
          <w:iCs/>
          <w:lang w:eastAsia="fr-FR"/>
        </w:rPr>
        <w:t>bulgaricus</w:t>
      </w:r>
      <w:r w:rsidRPr="000E656C">
        <w:rPr>
          <w:rFonts w:asciiTheme="majorBidi" w:eastAsia="Times New Roman" w:hAnsiTheme="majorBidi" w:cstheme="majorBidi"/>
          <w:lang w:eastAsia="fr-FR"/>
        </w:rPr>
        <w:t xml:space="preserve"> 2501 ou 2515 à ABT-1 </w:t>
      </w:r>
      <w:r w:rsidRPr="0067253E">
        <w:rPr>
          <w:rFonts w:asciiTheme="majorBidi" w:eastAsia="Times New Roman" w:hAnsiTheme="majorBidi" w:cstheme="majorBidi"/>
          <w:lang w:eastAsia="fr-FR"/>
        </w:rPr>
        <w:t xml:space="preserve">(Lb. </w:t>
      </w:r>
      <w:r w:rsidRPr="00AF0372">
        <w:rPr>
          <w:rFonts w:asciiTheme="majorBidi" w:eastAsia="Times New Roman" w:hAnsiTheme="majorBidi" w:cstheme="majorBidi"/>
          <w:i/>
          <w:iCs/>
          <w:lang w:eastAsia="fr-FR"/>
        </w:rPr>
        <w:t>acidophilus</w:t>
      </w:r>
      <w:r w:rsidRPr="0067253E">
        <w:rPr>
          <w:rFonts w:asciiTheme="majorBidi" w:eastAsia="Times New Roman" w:hAnsiTheme="majorBidi" w:cstheme="majorBidi"/>
          <w:lang w:eastAsia="fr-FR"/>
        </w:rPr>
        <w:t xml:space="preserve">, </w:t>
      </w:r>
      <w:r w:rsidRPr="00AF0372">
        <w:rPr>
          <w:rFonts w:asciiTheme="majorBidi" w:eastAsia="Times New Roman" w:hAnsiTheme="majorBidi" w:cstheme="majorBidi"/>
          <w:i/>
          <w:iCs/>
          <w:lang w:eastAsia="fr-FR"/>
        </w:rPr>
        <w:t>Bifidobacterium</w:t>
      </w:r>
      <w:r w:rsidRPr="0067253E">
        <w:rPr>
          <w:rFonts w:asciiTheme="majorBidi" w:eastAsia="Times New Roman" w:hAnsiTheme="majorBidi" w:cstheme="majorBidi"/>
          <w:lang w:eastAsia="fr-FR"/>
        </w:rPr>
        <w:t xml:space="preserve"> ssp et </w:t>
      </w:r>
      <w:r w:rsidRPr="00AF0372">
        <w:rPr>
          <w:rFonts w:asciiTheme="majorBidi" w:eastAsia="Times New Roman" w:hAnsiTheme="majorBidi" w:cstheme="majorBidi"/>
          <w:i/>
          <w:iCs/>
          <w:lang w:eastAsia="fr-FR"/>
        </w:rPr>
        <w:t>Streptococcus</w:t>
      </w:r>
      <w:r w:rsidRPr="0067253E">
        <w:rPr>
          <w:rFonts w:asciiTheme="majorBidi" w:eastAsia="Times New Roman" w:hAnsiTheme="majorBidi" w:cstheme="majorBidi"/>
          <w:lang w:eastAsia="fr-FR"/>
        </w:rPr>
        <w:t xml:space="preserve"> </w:t>
      </w:r>
      <w:r w:rsidRPr="00AF0372">
        <w:rPr>
          <w:rFonts w:asciiTheme="majorBidi" w:eastAsia="Times New Roman" w:hAnsiTheme="majorBidi" w:cstheme="majorBidi"/>
          <w:i/>
          <w:iCs/>
          <w:lang w:eastAsia="fr-FR"/>
        </w:rPr>
        <w:t>thermophilus</w:t>
      </w:r>
      <w:r w:rsidRPr="0067253E">
        <w:rPr>
          <w:rFonts w:asciiTheme="majorBidi" w:eastAsia="Times New Roman" w:hAnsiTheme="majorBidi" w:cstheme="majorBidi"/>
          <w:lang w:eastAsia="fr-FR"/>
        </w:rPr>
        <w:t xml:space="preserve">) </w:t>
      </w:r>
      <w:r w:rsidRPr="000E656C">
        <w:rPr>
          <w:rFonts w:asciiTheme="majorBidi" w:eastAsia="Times New Roman" w:hAnsiTheme="majorBidi" w:cstheme="majorBidi"/>
          <w:lang w:eastAsia="fr-FR"/>
        </w:rPr>
        <w:t>réduit la viscosité du yaourt</w:t>
      </w:r>
      <w:r>
        <w:rPr>
          <w:rFonts w:asciiTheme="majorBidi" w:eastAsia="Times New Roman" w:hAnsiTheme="majorBidi" w:cstheme="majorBidi"/>
          <w:lang w:eastAsia="fr-FR"/>
        </w:rPr>
        <w:t xml:space="preserve"> </w:t>
      </w:r>
      <w:r w:rsidRPr="003E7BEC">
        <w:rPr>
          <w:rFonts w:asciiTheme="majorBidi" w:eastAsia="Times New Roman" w:hAnsiTheme="majorBidi" w:cstheme="majorBidi"/>
          <w:color w:val="0000FF"/>
          <w:lang w:eastAsia="fr-FR"/>
        </w:rPr>
        <w:t>(Shihata et shah, 2002)</w:t>
      </w:r>
      <w:r w:rsidRPr="000E656C">
        <w:rPr>
          <w:rFonts w:asciiTheme="majorBidi" w:eastAsia="Times New Roman" w:hAnsiTheme="majorBidi" w:cstheme="majorBidi"/>
          <w:lang w:eastAsia="fr-FR"/>
        </w:rPr>
        <w:t xml:space="preserve">. </w:t>
      </w:r>
    </w:p>
    <w:p w:rsidR="006C66E7" w:rsidRPr="0067253E" w:rsidRDefault="006C66E7" w:rsidP="006C66E7">
      <w:pPr>
        <w:spacing w:before="0" w:after="0" w:line="360" w:lineRule="auto"/>
        <w:ind w:firstLine="360"/>
        <w:contextualSpacing/>
        <w:jc w:val="both"/>
        <w:rPr>
          <w:rFonts w:asciiTheme="majorBidi" w:eastAsia="Times New Roman" w:hAnsiTheme="majorBidi" w:cstheme="majorBidi"/>
          <w:lang w:eastAsia="fr-FR"/>
        </w:rPr>
      </w:pPr>
    </w:p>
    <w:p w:rsidR="006C66E7" w:rsidRDefault="006C66E7" w:rsidP="006C66E7">
      <w:pPr>
        <w:spacing w:before="0" w:after="0" w:line="360" w:lineRule="auto"/>
        <w:ind w:firstLine="360"/>
        <w:contextualSpacing/>
        <w:jc w:val="both"/>
        <w:rPr>
          <w:rFonts w:asciiTheme="majorBidi" w:eastAsia="Times New Roman" w:hAnsiTheme="majorBidi" w:cstheme="majorBidi"/>
          <w:lang w:eastAsia="fr-FR"/>
        </w:rPr>
      </w:pPr>
      <w:r w:rsidRPr="00AF0372">
        <w:rPr>
          <w:rFonts w:asciiTheme="majorBidi" w:eastAsia="Times New Roman" w:hAnsiTheme="majorBidi" w:cstheme="majorBidi"/>
          <w:i/>
          <w:iCs/>
          <w:lang w:eastAsia="fr-FR"/>
        </w:rPr>
        <w:t>Lb</w:t>
      </w:r>
      <w:r w:rsidRPr="000E656C">
        <w:rPr>
          <w:rFonts w:asciiTheme="majorBidi" w:eastAsia="Times New Roman" w:hAnsiTheme="majorBidi" w:cstheme="majorBidi"/>
          <w:lang w:eastAsia="fr-FR"/>
        </w:rPr>
        <w:t xml:space="preserve">. </w:t>
      </w:r>
      <w:r w:rsidRPr="00AF0372">
        <w:rPr>
          <w:rFonts w:asciiTheme="majorBidi" w:eastAsia="Times New Roman" w:hAnsiTheme="majorBidi" w:cstheme="majorBidi"/>
          <w:i/>
          <w:iCs/>
          <w:lang w:eastAsia="fr-FR"/>
        </w:rPr>
        <w:t>delbrueckii</w:t>
      </w:r>
      <w:r w:rsidRPr="000E656C">
        <w:rPr>
          <w:rFonts w:asciiTheme="majorBidi" w:eastAsia="Times New Roman" w:hAnsiTheme="majorBidi" w:cstheme="majorBidi"/>
          <w:lang w:eastAsia="fr-FR"/>
        </w:rPr>
        <w:t xml:space="preserve"> sup. </w:t>
      </w:r>
      <w:r w:rsidRPr="00AF0372">
        <w:rPr>
          <w:rFonts w:asciiTheme="majorBidi" w:eastAsia="Times New Roman" w:hAnsiTheme="majorBidi" w:cstheme="majorBidi"/>
          <w:i/>
          <w:iCs/>
          <w:lang w:eastAsia="fr-FR"/>
        </w:rPr>
        <w:t>bulgaricus</w:t>
      </w:r>
      <w:r w:rsidRPr="0067253E">
        <w:rPr>
          <w:rFonts w:asciiTheme="majorBidi" w:eastAsia="Times New Roman" w:hAnsiTheme="majorBidi" w:cstheme="majorBidi"/>
          <w:lang w:eastAsia="fr-FR"/>
        </w:rPr>
        <w:t xml:space="preserve"> </w:t>
      </w:r>
      <w:r w:rsidRPr="000E656C">
        <w:rPr>
          <w:rFonts w:asciiTheme="majorBidi" w:eastAsia="Times New Roman" w:hAnsiTheme="majorBidi" w:cstheme="majorBidi"/>
          <w:lang w:eastAsia="fr-FR"/>
        </w:rPr>
        <w:t xml:space="preserve">2501 et 2515 sont rapportés </w:t>
      </w:r>
      <w:r w:rsidRPr="0067253E">
        <w:rPr>
          <w:rFonts w:asciiTheme="majorBidi" w:eastAsia="Times New Roman" w:hAnsiTheme="majorBidi" w:cstheme="majorBidi"/>
          <w:lang w:eastAsia="fr-FR"/>
        </w:rPr>
        <w:t xml:space="preserve"> </w:t>
      </w:r>
      <w:r w:rsidRPr="000E656C">
        <w:rPr>
          <w:rFonts w:asciiTheme="majorBidi" w:eastAsia="Times New Roman" w:hAnsiTheme="majorBidi" w:cstheme="majorBidi"/>
          <w:lang w:eastAsia="fr-FR"/>
        </w:rPr>
        <w:t xml:space="preserve">à des souches protéolytiques </w:t>
      </w:r>
      <w:r w:rsidRPr="000E656C">
        <w:rPr>
          <w:rFonts w:asciiTheme="majorBidi" w:eastAsia="Times New Roman" w:hAnsiTheme="majorBidi" w:cstheme="majorBidi"/>
          <w:color w:val="0000FF"/>
          <w:lang w:eastAsia="fr-FR"/>
        </w:rPr>
        <w:t>(Shihata &amp; Shah, 2000)</w:t>
      </w:r>
      <w:r w:rsidRPr="000E656C">
        <w:rPr>
          <w:rFonts w:asciiTheme="majorBidi" w:eastAsia="Times New Roman" w:hAnsiTheme="majorBidi" w:cstheme="majorBidi"/>
          <w:lang w:eastAsia="fr-FR"/>
        </w:rPr>
        <w:t xml:space="preserve">. </w:t>
      </w:r>
    </w:p>
    <w:p w:rsidR="006C66E7" w:rsidRPr="0067253E" w:rsidRDefault="006C66E7" w:rsidP="006C66E7">
      <w:pPr>
        <w:spacing w:before="0" w:after="0" w:line="360" w:lineRule="auto"/>
        <w:ind w:firstLine="360"/>
        <w:contextualSpacing/>
        <w:jc w:val="both"/>
        <w:rPr>
          <w:rFonts w:asciiTheme="majorBidi" w:eastAsia="Times New Roman" w:hAnsiTheme="majorBidi" w:cstheme="majorBidi"/>
          <w:lang w:eastAsia="fr-FR"/>
        </w:rPr>
      </w:pPr>
    </w:p>
    <w:p w:rsidR="006C66E7" w:rsidRDefault="006C66E7" w:rsidP="006C66E7">
      <w:pPr>
        <w:spacing w:before="0" w:after="0" w:line="360" w:lineRule="auto"/>
        <w:ind w:firstLine="360"/>
        <w:contextualSpacing/>
        <w:jc w:val="both"/>
        <w:rPr>
          <w:rFonts w:asciiTheme="majorBidi" w:eastAsia="Times New Roman" w:hAnsiTheme="majorBidi" w:cstheme="majorBidi"/>
          <w:lang w:eastAsia="fr-FR"/>
        </w:rPr>
      </w:pPr>
      <w:r w:rsidRPr="000E656C">
        <w:rPr>
          <w:rFonts w:asciiTheme="majorBidi" w:eastAsia="Times New Roman" w:hAnsiTheme="majorBidi" w:cstheme="majorBidi"/>
          <w:lang w:eastAsia="fr-FR"/>
        </w:rPr>
        <w:lastRenderedPageBreak/>
        <w:t>Protéolytique</w:t>
      </w:r>
      <w:r w:rsidRPr="0067253E">
        <w:rPr>
          <w:rFonts w:asciiTheme="majorBidi" w:eastAsia="Times New Roman" w:hAnsiTheme="majorBidi" w:cstheme="majorBidi"/>
          <w:lang w:eastAsia="fr-FR"/>
        </w:rPr>
        <w:t xml:space="preserve"> de souches de </w:t>
      </w:r>
      <w:r w:rsidRPr="00AF0372">
        <w:rPr>
          <w:rFonts w:asciiTheme="majorBidi" w:eastAsia="Times New Roman" w:hAnsiTheme="majorBidi" w:cstheme="majorBidi"/>
          <w:i/>
          <w:iCs/>
          <w:lang w:eastAsia="fr-FR"/>
        </w:rPr>
        <w:t>Lb</w:t>
      </w:r>
      <w:r w:rsidRPr="0067253E">
        <w:rPr>
          <w:rFonts w:asciiTheme="majorBidi" w:eastAsia="Times New Roman" w:hAnsiTheme="majorBidi" w:cstheme="majorBidi"/>
          <w:lang w:eastAsia="fr-FR"/>
        </w:rPr>
        <w:t xml:space="preserve">. </w:t>
      </w:r>
      <w:r w:rsidRPr="00AF0372">
        <w:rPr>
          <w:rFonts w:asciiTheme="majorBidi" w:eastAsia="Times New Roman" w:hAnsiTheme="majorBidi" w:cstheme="majorBidi"/>
          <w:i/>
          <w:iCs/>
          <w:lang w:eastAsia="fr-FR"/>
        </w:rPr>
        <w:t>delbrueckii</w:t>
      </w:r>
      <w:r w:rsidRPr="0067253E">
        <w:rPr>
          <w:rFonts w:asciiTheme="majorBidi" w:eastAsia="Times New Roman" w:hAnsiTheme="majorBidi" w:cstheme="majorBidi"/>
          <w:lang w:eastAsia="fr-FR"/>
        </w:rPr>
        <w:t xml:space="preserve"> s</w:t>
      </w:r>
      <w:r w:rsidRPr="000E656C">
        <w:rPr>
          <w:rFonts w:asciiTheme="majorBidi" w:eastAsia="Times New Roman" w:hAnsiTheme="majorBidi" w:cstheme="majorBidi"/>
          <w:lang w:eastAsia="fr-FR"/>
        </w:rPr>
        <w:t>sp.</w:t>
      </w:r>
      <w:r w:rsidRPr="0067253E">
        <w:rPr>
          <w:rFonts w:asciiTheme="majorBidi" w:eastAsia="Times New Roman" w:hAnsiTheme="majorBidi" w:cstheme="majorBidi"/>
          <w:lang w:eastAsia="fr-FR"/>
        </w:rPr>
        <w:t xml:space="preserve"> </w:t>
      </w:r>
      <w:r w:rsidRPr="00AF0372">
        <w:rPr>
          <w:rFonts w:asciiTheme="majorBidi" w:eastAsia="Times New Roman" w:hAnsiTheme="majorBidi" w:cstheme="majorBidi"/>
          <w:i/>
          <w:iCs/>
          <w:lang w:eastAsia="fr-FR"/>
        </w:rPr>
        <w:t>bulgaricus</w:t>
      </w:r>
      <w:r w:rsidRPr="000E656C">
        <w:rPr>
          <w:rFonts w:asciiTheme="majorBidi" w:eastAsia="Times New Roman" w:hAnsiTheme="majorBidi" w:cstheme="majorBidi"/>
          <w:lang w:eastAsia="fr-FR"/>
        </w:rPr>
        <w:t xml:space="preserve"> </w:t>
      </w:r>
      <w:r w:rsidRPr="0067253E">
        <w:rPr>
          <w:rFonts w:asciiTheme="majorBidi" w:eastAsia="Times New Roman" w:hAnsiTheme="majorBidi" w:cstheme="majorBidi"/>
          <w:lang w:eastAsia="fr-FR"/>
        </w:rPr>
        <w:t xml:space="preserve"> </w:t>
      </w:r>
      <w:r w:rsidRPr="000E656C">
        <w:rPr>
          <w:rFonts w:asciiTheme="majorBidi" w:eastAsia="Times New Roman" w:hAnsiTheme="majorBidi" w:cstheme="majorBidi"/>
          <w:lang w:eastAsia="fr-FR"/>
        </w:rPr>
        <w:t>sont capables d'hydrolyse</w:t>
      </w:r>
      <w:r w:rsidRPr="0067253E">
        <w:rPr>
          <w:rFonts w:asciiTheme="majorBidi" w:eastAsia="Times New Roman" w:hAnsiTheme="majorBidi" w:cstheme="majorBidi"/>
          <w:lang w:eastAsia="fr-FR"/>
        </w:rPr>
        <w:t>r</w:t>
      </w:r>
      <w:r w:rsidRPr="000E656C">
        <w:rPr>
          <w:rFonts w:asciiTheme="majorBidi" w:eastAsia="Times New Roman" w:hAnsiTheme="majorBidi" w:cstheme="majorBidi"/>
          <w:lang w:eastAsia="fr-FR"/>
        </w:rPr>
        <w:t xml:space="preserve"> </w:t>
      </w:r>
      <w:r w:rsidRPr="0067253E">
        <w:rPr>
          <w:rFonts w:asciiTheme="majorBidi" w:eastAsia="Times New Roman" w:hAnsiTheme="majorBidi" w:cstheme="majorBidi"/>
          <w:lang w:eastAsia="fr-FR"/>
        </w:rPr>
        <w:t>l</w:t>
      </w:r>
      <w:r w:rsidRPr="000E656C">
        <w:rPr>
          <w:rFonts w:asciiTheme="majorBidi" w:eastAsia="Times New Roman" w:hAnsiTheme="majorBidi" w:cstheme="majorBidi"/>
          <w:lang w:eastAsia="fr-FR"/>
        </w:rPr>
        <w:t xml:space="preserve">es protéines et </w:t>
      </w:r>
      <w:r w:rsidRPr="0067253E">
        <w:rPr>
          <w:rFonts w:asciiTheme="majorBidi" w:eastAsia="Times New Roman" w:hAnsiTheme="majorBidi" w:cstheme="majorBidi"/>
          <w:lang w:eastAsia="fr-FR"/>
        </w:rPr>
        <w:t>peuvent</w:t>
      </w:r>
      <w:r w:rsidRPr="000E656C">
        <w:rPr>
          <w:rFonts w:asciiTheme="majorBidi" w:eastAsia="Times New Roman" w:hAnsiTheme="majorBidi" w:cstheme="majorBidi"/>
          <w:lang w:eastAsia="fr-FR"/>
        </w:rPr>
        <w:t xml:space="preserve"> condui</w:t>
      </w:r>
      <w:r w:rsidRPr="0067253E">
        <w:rPr>
          <w:rFonts w:asciiTheme="majorBidi" w:eastAsia="Times New Roman" w:hAnsiTheme="majorBidi" w:cstheme="majorBidi"/>
          <w:lang w:eastAsia="fr-FR"/>
        </w:rPr>
        <w:t>re</w:t>
      </w:r>
      <w:r w:rsidRPr="000E656C">
        <w:rPr>
          <w:rFonts w:asciiTheme="majorBidi" w:eastAsia="Times New Roman" w:hAnsiTheme="majorBidi" w:cstheme="majorBidi"/>
          <w:lang w:eastAsia="fr-FR"/>
        </w:rPr>
        <w:t xml:space="preserve"> à la réduction de la viscosité des yaourts. </w:t>
      </w:r>
      <w:r w:rsidRPr="0067253E">
        <w:rPr>
          <w:rFonts w:asciiTheme="majorBidi" w:eastAsia="Times New Roman" w:hAnsiTheme="majorBidi" w:cstheme="majorBidi"/>
          <w:lang w:eastAsia="fr-FR"/>
        </w:rPr>
        <w:t xml:space="preserve">Il y a une </w:t>
      </w:r>
      <w:r w:rsidRPr="000E656C">
        <w:rPr>
          <w:rFonts w:asciiTheme="majorBidi" w:eastAsia="Times New Roman" w:hAnsiTheme="majorBidi" w:cstheme="majorBidi"/>
          <w:lang w:eastAsia="fr-FR"/>
        </w:rPr>
        <w:t>relation entre l</w:t>
      </w:r>
      <w:r w:rsidRPr="0067253E">
        <w:rPr>
          <w:rFonts w:asciiTheme="majorBidi" w:eastAsia="Times New Roman" w:hAnsiTheme="majorBidi" w:cstheme="majorBidi"/>
          <w:lang w:eastAsia="fr-FR"/>
        </w:rPr>
        <w:t xml:space="preserve">e temps de </w:t>
      </w:r>
      <w:r w:rsidRPr="000E656C">
        <w:rPr>
          <w:rFonts w:asciiTheme="majorBidi" w:eastAsia="Times New Roman" w:hAnsiTheme="majorBidi" w:cstheme="majorBidi"/>
          <w:lang w:eastAsia="fr-FR"/>
        </w:rPr>
        <w:t xml:space="preserve">fermentation et la viscosité du yaourt, </w:t>
      </w:r>
      <w:r w:rsidRPr="0067253E">
        <w:rPr>
          <w:rFonts w:asciiTheme="majorBidi" w:eastAsia="Times New Roman" w:hAnsiTheme="majorBidi" w:cstheme="majorBidi"/>
          <w:lang w:eastAsia="fr-FR"/>
        </w:rPr>
        <w:t xml:space="preserve">si le temps de fermentation </w:t>
      </w:r>
      <w:r w:rsidRPr="0067253E">
        <w:rPr>
          <w:rFonts w:asciiTheme="majorBidi" w:eastAsia="Times New Roman" w:hAnsiTheme="majorBidi" w:cstheme="majorBidi"/>
          <w:lang w:eastAsia="fr-FR"/>
        </w:rPr>
        <w:br/>
        <w:t>augmente</w:t>
      </w:r>
      <w:r w:rsidRPr="000E656C">
        <w:rPr>
          <w:rFonts w:asciiTheme="majorBidi" w:eastAsia="Times New Roman" w:hAnsiTheme="majorBidi" w:cstheme="majorBidi"/>
          <w:lang w:eastAsia="fr-FR"/>
        </w:rPr>
        <w:t xml:space="preserve">, </w:t>
      </w:r>
      <w:r w:rsidRPr="0067253E">
        <w:rPr>
          <w:rFonts w:asciiTheme="majorBidi" w:eastAsia="Times New Roman" w:hAnsiTheme="majorBidi" w:cstheme="majorBidi"/>
          <w:lang w:eastAsia="fr-FR"/>
        </w:rPr>
        <w:t>l</w:t>
      </w:r>
      <w:r w:rsidRPr="000E656C">
        <w:rPr>
          <w:rFonts w:asciiTheme="majorBidi" w:eastAsia="Times New Roman" w:hAnsiTheme="majorBidi" w:cstheme="majorBidi"/>
          <w:lang w:eastAsia="fr-FR"/>
        </w:rPr>
        <w:t>a viscosité</w:t>
      </w:r>
      <w:r w:rsidRPr="0067253E">
        <w:rPr>
          <w:rFonts w:asciiTheme="majorBidi" w:eastAsia="Times New Roman" w:hAnsiTheme="majorBidi" w:cstheme="majorBidi"/>
          <w:lang w:eastAsia="fr-FR"/>
        </w:rPr>
        <w:t xml:space="preserve"> augmente</w:t>
      </w:r>
      <w:r w:rsidRPr="000E656C">
        <w:rPr>
          <w:rFonts w:asciiTheme="majorBidi" w:eastAsia="Times New Roman" w:hAnsiTheme="majorBidi" w:cstheme="majorBidi"/>
          <w:lang w:eastAsia="fr-FR"/>
        </w:rPr>
        <w:t>. Ce</w:t>
      </w:r>
      <w:r w:rsidRPr="0067253E">
        <w:rPr>
          <w:rFonts w:asciiTheme="majorBidi" w:eastAsia="Times New Roman" w:hAnsiTheme="majorBidi" w:cstheme="majorBidi"/>
          <w:lang w:eastAsia="fr-FR"/>
        </w:rPr>
        <w:t xml:space="preserve"> qui explique </w:t>
      </w:r>
      <w:r w:rsidRPr="000E656C">
        <w:rPr>
          <w:rFonts w:asciiTheme="majorBidi" w:eastAsia="Times New Roman" w:hAnsiTheme="majorBidi" w:cstheme="majorBidi"/>
          <w:lang w:eastAsia="fr-FR"/>
        </w:rPr>
        <w:t>que l</w:t>
      </w:r>
      <w:r w:rsidRPr="0067253E">
        <w:rPr>
          <w:rFonts w:asciiTheme="majorBidi" w:eastAsia="Times New Roman" w:hAnsiTheme="majorBidi" w:cstheme="majorBidi"/>
          <w:lang w:eastAsia="fr-FR"/>
        </w:rPr>
        <w:t>e temps de</w:t>
      </w:r>
      <w:r w:rsidRPr="000E656C">
        <w:rPr>
          <w:rFonts w:asciiTheme="majorBidi" w:eastAsia="Times New Roman" w:hAnsiTheme="majorBidi" w:cstheme="majorBidi"/>
          <w:lang w:eastAsia="fr-FR"/>
        </w:rPr>
        <w:t xml:space="preserve"> fermentation pourrait être réduit </w:t>
      </w:r>
      <w:r w:rsidRPr="0067253E">
        <w:rPr>
          <w:rFonts w:asciiTheme="majorBidi" w:eastAsia="Times New Roman" w:hAnsiTheme="majorBidi" w:cstheme="majorBidi"/>
          <w:lang w:eastAsia="fr-FR"/>
        </w:rPr>
        <w:t xml:space="preserve">si </w:t>
      </w:r>
      <w:r w:rsidRPr="000E656C">
        <w:rPr>
          <w:rFonts w:asciiTheme="majorBidi" w:eastAsia="Times New Roman" w:hAnsiTheme="majorBidi" w:cstheme="majorBidi"/>
          <w:lang w:eastAsia="fr-FR"/>
        </w:rPr>
        <w:t>en incorporant</w:t>
      </w:r>
      <w:r w:rsidRPr="0067253E">
        <w:rPr>
          <w:rFonts w:asciiTheme="majorBidi" w:eastAsia="Times New Roman" w:hAnsiTheme="majorBidi" w:cstheme="majorBidi"/>
          <w:lang w:eastAsia="fr-FR"/>
        </w:rPr>
        <w:t xml:space="preserve"> la bactérie </w:t>
      </w:r>
      <w:r w:rsidRPr="000E656C">
        <w:rPr>
          <w:rFonts w:asciiTheme="majorBidi" w:eastAsia="Times New Roman" w:hAnsiTheme="majorBidi" w:cstheme="majorBidi"/>
          <w:lang w:eastAsia="fr-FR"/>
        </w:rPr>
        <w:t xml:space="preserve">protéolytique </w:t>
      </w:r>
      <w:r w:rsidRPr="00AF0372">
        <w:rPr>
          <w:rFonts w:asciiTheme="majorBidi" w:eastAsia="Times New Roman" w:hAnsiTheme="majorBidi" w:cstheme="majorBidi"/>
          <w:i/>
          <w:iCs/>
          <w:lang w:eastAsia="fr-FR"/>
        </w:rPr>
        <w:t>Lb</w:t>
      </w:r>
      <w:r w:rsidRPr="000E656C">
        <w:rPr>
          <w:rFonts w:asciiTheme="majorBidi" w:eastAsia="Times New Roman" w:hAnsiTheme="majorBidi" w:cstheme="majorBidi"/>
          <w:lang w:eastAsia="fr-FR"/>
        </w:rPr>
        <w:t xml:space="preserve">. </w:t>
      </w:r>
      <w:r w:rsidRPr="00AF0372">
        <w:rPr>
          <w:rFonts w:asciiTheme="majorBidi" w:eastAsia="Times New Roman" w:hAnsiTheme="majorBidi" w:cstheme="majorBidi"/>
          <w:i/>
          <w:iCs/>
          <w:lang w:eastAsia="fr-FR"/>
        </w:rPr>
        <w:t>delbrueckii</w:t>
      </w:r>
      <w:r w:rsidRPr="000E656C">
        <w:rPr>
          <w:rFonts w:asciiTheme="majorBidi" w:eastAsia="Times New Roman" w:hAnsiTheme="majorBidi" w:cstheme="majorBidi"/>
          <w:lang w:eastAsia="fr-FR"/>
        </w:rPr>
        <w:t xml:space="preserve"> ssp. </w:t>
      </w:r>
      <w:r w:rsidRPr="00AF0372">
        <w:rPr>
          <w:rFonts w:asciiTheme="majorBidi" w:eastAsia="Times New Roman" w:hAnsiTheme="majorBidi" w:cstheme="majorBidi"/>
          <w:i/>
          <w:iCs/>
          <w:lang w:eastAsia="fr-FR"/>
        </w:rPr>
        <w:t>bulgaricus</w:t>
      </w:r>
      <w:r w:rsidRPr="000E656C">
        <w:rPr>
          <w:rFonts w:asciiTheme="majorBidi" w:eastAsia="Times New Roman" w:hAnsiTheme="majorBidi" w:cstheme="majorBidi"/>
          <w:lang w:eastAsia="fr-FR"/>
        </w:rPr>
        <w:t xml:space="preserve">; </w:t>
      </w:r>
      <w:r w:rsidRPr="0067253E">
        <w:rPr>
          <w:rFonts w:asciiTheme="majorBidi" w:eastAsia="Times New Roman" w:hAnsiTheme="majorBidi" w:cstheme="majorBidi"/>
          <w:lang w:eastAsia="fr-FR"/>
        </w:rPr>
        <w:t xml:space="preserve"> </w:t>
      </w:r>
      <w:r w:rsidRPr="000E656C">
        <w:rPr>
          <w:rFonts w:asciiTheme="majorBidi" w:eastAsia="Times New Roman" w:hAnsiTheme="majorBidi" w:cstheme="majorBidi"/>
          <w:lang w:eastAsia="fr-FR"/>
        </w:rPr>
        <w:t xml:space="preserve">toutefois, </w:t>
      </w:r>
      <w:r w:rsidRPr="0067253E">
        <w:rPr>
          <w:rFonts w:asciiTheme="majorBidi" w:eastAsia="Times New Roman" w:hAnsiTheme="majorBidi" w:cstheme="majorBidi"/>
          <w:lang w:eastAsia="fr-FR"/>
        </w:rPr>
        <w:t xml:space="preserve">et peut avoir </w:t>
      </w:r>
      <w:r w:rsidRPr="000E656C">
        <w:rPr>
          <w:rFonts w:asciiTheme="majorBidi" w:eastAsia="Times New Roman" w:hAnsiTheme="majorBidi" w:cstheme="majorBidi"/>
          <w:lang w:eastAsia="fr-FR"/>
        </w:rPr>
        <w:t xml:space="preserve">des effets néfastes sur la viscosité de </w:t>
      </w:r>
      <w:r w:rsidRPr="0067253E">
        <w:rPr>
          <w:rFonts w:asciiTheme="majorBidi" w:eastAsia="Times New Roman" w:hAnsiTheme="majorBidi" w:cstheme="majorBidi"/>
          <w:lang w:eastAsia="fr-FR"/>
        </w:rPr>
        <w:t xml:space="preserve"> </w:t>
      </w:r>
      <w:r w:rsidRPr="000E656C">
        <w:rPr>
          <w:rFonts w:asciiTheme="majorBidi" w:eastAsia="Times New Roman" w:hAnsiTheme="majorBidi" w:cstheme="majorBidi"/>
          <w:lang w:eastAsia="fr-FR"/>
        </w:rPr>
        <w:t>le produit</w:t>
      </w:r>
      <w:r>
        <w:rPr>
          <w:rFonts w:asciiTheme="majorBidi" w:eastAsia="Times New Roman" w:hAnsiTheme="majorBidi" w:cstheme="majorBidi"/>
          <w:lang w:eastAsia="fr-FR"/>
        </w:rPr>
        <w:t xml:space="preserve"> </w:t>
      </w:r>
      <w:r w:rsidRPr="003E7BEC">
        <w:rPr>
          <w:rFonts w:asciiTheme="majorBidi" w:eastAsia="Times New Roman" w:hAnsiTheme="majorBidi" w:cstheme="majorBidi"/>
          <w:color w:val="0000FF"/>
          <w:lang w:eastAsia="fr-FR"/>
        </w:rPr>
        <w:t>(Shihata et Shah, 2002)</w:t>
      </w:r>
      <w:r w:rsidRPr="000E656C">
        <w:rPr>
          <w:rFonts w:asciiTheme="majorBidi" w:eastAsia="Times New Roman" w:hAnsiTheme="majorBidi" w:cstheme="majorBidi"/>
          <w:lang w:eastAsia="fr-FR"/>
        </w:rPr>
        <w:t>.</w:t>
      </w:r>
    </w:p>
    <w:p w:rsidR="006C66E7" w:rsidRPr="0067253E" w:rsidRDefault="006C66E7" w:rsidP="006C66E7">
      <w:pPr>
        <w:spacing w:before="0" w:after="0" w:line="360" w:lineRule="auto"/>
        <w:ind w:firstLine="360"/>
        <w:contextualSpacing/>
        <w:jc w:val="both"/>
        <w:rPr>
          <w:rFonts w:ascii="Times New Roman" w:eastAsia="Times New Roman" w:hAnsi="Times New Roman" w:cs="Times New Roman"/>
          <w:lang w:eastAsia="fr-FR"/>
        </w:rPr>
      </w:pPr>
      <w:r>
        <w:rPr>
          <w:rFonts w:ascii="Times New Roman" w:eastAsia="Times New Roman" w:hAnsi="Times New Roman" w:cs="Times New Roman"/>
          <w:lang w:eastAsia="fr-FR"/>
        </w:rPr>
        <w:t xml:space="preserve">Selon </w:t>
      </w:r>
      <w:r w:rsidRPr="003E7BEC">
        <w:rPr>
          <w:rFonts w:asciiTheme="majorBidi" w:eastAsiaTheme="minorHAnsi" w:hAnsiTheme="majorBidi" w:cstheme="majorBidi"/>
          <w:color w:val="0000FF"/>
        </w:rPr>
        <w:t>Ayala-Hernandez et al. (2009)</w:t>
      </w:r>
      <w:r>
        <w:rPr>
          <w:rFonts w:asciiTheme="majorBidi" w:eastAsiaTheme="minorHAnsi" w:hAnsiTheme="majorBidi" w:cstheme="majorBidi"/>
          <w:color w:val="0000FF"/>
        </w:rPr>
        <w:t xml:space="preserve">, </w:t>
      </w:r>
      <w:r>
        <w:rPr>
          <w:rFonts w:ascii="Times New Roman" w:eastAsia="Times New Roman" w:hAnsi="Times New Roman" w:cs="Times New Roman"/>
          <w:lang w:eastAsia="fr-FR"/>
        </w:rPr>
        <w:t xml:space="preserve">des </w:t>
      </w:r>
      <w:r w:rsidRPr="0067253E">
        <w:rPr>
          <w:rFonts w:ascii="Times New Roman" w:eastAsia="Times New Roman" w:hAnsi="Times New Roman" w:cs="Times New Roman"/>
          <w:lang w:eastAsia="fr-FR"/>
        </w:rPr>
        <w:t xml:space="preserve"> échantillons </w:t>
      </w:r>
      <w:r>
        <w:rPr>
          <w:rFonts w:ascii="Times New Roman" w:eastAsia="Times New Roman" w:hAnsi="Times New Roman" w:cs="Times New Roman"/>
          <w:lang w:eastAsia="fr-FR"/>
        </w:rPr>
        <w:t xml:space="preserve">avaient </w:t>
      </w:r>
      <w:r w:rsidRPr="0067253E">
        <w:rPr>
          <w:rFonts w:ascii="Times New Roman" w:eastAsia="Times New Roman" w:hAnsi="Times New Roman" w:cs="Times New Roman"/>
          <w:lang w:eastAsia="fr-FR"/>
        </w:rPr>
        <w:t xml:space="preserve">été obtenus à partir de la fermentation avec </w:t>
      </w:r>
      <w:r>
        <w:rPr>
          <w:rFonts w:ascii="Times New Roman" w:eastAsia="Times New Roman" w:hAnsi="Times New Roman" w:cs="Times New Roman"/>
          <w:lang w:eastAsia="fr-FR"/>
        </w:rPr>
        <w:t xml:space="preserve"> </w:t>
      </w:r>
      <w:r w:rsidRPr="00AF0372">
        <w:rPr>
          <w:rFonts w:ascii="Times New Roman" w:eastAsia="Times New Roman" w:hAnsi="Times New Roman" w:cs="Times New Roman"/>
          <w:i/>
          <w:iCs/>
          <w:lang w:eastAsia="fr-FR"/>
        </w:rPr>
        <w:t>L</w:t>
      </w:r>
      <w:r w:rsidRPr="0067253E">
        <w:rPr>
          <w:rFonts w:ascii="Times New Roman" w:eastAsia="Times New Roman" w:hAnsi="Times New Roman" w:cs="Times New Roman"/>
          <w:lang w:eastAsia="fr-FR"/>
        </w:rPr>
        <w:t xml:space="preserve">. </w:t>
      </w:r>
      <w:r w:rsidRPr="00AF0372">
        <w:rPr>
          <w:rFonts w:ascii="Times New Roman" w:eastAsia="Times New Roman" w:hAnsi="Times New Roman" w:cs="Times New Roman"/>
          <w:i/>
          <w:iCs/>
          <w:lang w:eastAsia="fr-FR"/>
        </w:rPr>
        <w:t>lactis</w:t>
      </w:r>
      <w:r w:rsidRPr="0067253E">
        <w:rPr>
          <w:rFonts w:ascii="Times New Roman" w:eastAsia="Times New Roman" w:hAnsi="Times New Roman" w:cs="Times New Roman"/>
          <w:lang w:eastAsia="fr-FR"/>
        </w:rPr>
        <w:t xml:space="preserve"> ssp. </w:t>
      </w:r>
      <w:r w:rsidRPr="00AF0372">
        <w:rPr>
          <w:rFonts w:ascii="Times New Roman" w:eastAsia="Times New Roman" w:hAnsi="Times New Roman" w:cs="Times New Roman"/>
          <w:i/>
          <w:iCs/>
          <w:lang w:eastAsia="fr-FR"/>
        </w:rPr>
        <w:t>cremoris</w:t>
      </w:r>
      <w:r w:rsidRPr="0067253E">
        <w:rPr>
          <w:rFonts w:ascii="Times New Roman" w:eastAsia="Times New Roman" w:hAnsi="Times New Roman" w:cs="Times New Roman"/>
          <w:lang w:eastAsia="fr-FR"/>
        </w:rPr>
        <w:t xml:space="preserve"> JFR1 </w:t>
      </w:r>
      <w:r>
        <w:rPr>
          <w:rFonts w:ascii="Times New Roman" w:eastAsia="Times New Roman" w:hAnsi="Times New Roman" w:cs="Times New Roman"/>
          <w:lang w:eastAsia="fr-FR"/>
        </w:rPr>
        <w:t xml:space="preserve">en présence de protéines de </w:t>
      </w:r>
      <w:r w:rsidRPr="0067253E">
        <w:rPr>
          <w:rFonts w:ascii="Times New Roman" w:eastAsia="Times New Roman" w:hAnsi="Times New Roman" w:cs="Times New Roman"/>
          <w:lang w:eastAsia="fr-FR"/>
        </w:rPr>
        <w:t xml:space="preserve">lactosérum. Dans le </w:t>
      </w:r>
      <w:r>
        <w:rPr>
          <w:rFonts w:ascii="Times New Roman" w:eastAsia="Times New Roman" w:hAnsi="Times New Roman" w:cs="Times New Roman"/>
          <w:lang w:eastAsia="fr-FR"/>
        </w:rPr>
        <w:t>témoin (0% de protéines de lactosérum</w:t>
      </w:r>
      <w:r w:rsidRPr="0067253E">
        <w:rPr>
          <w:rFonts w:ascii="Times New Roman" w:eastAsia="Times New Roman" w:hAnsi="Times New Roman" w:cs="Times New Roman"/>
          <w:lang w:eastAsia="fr-FR"/>
        </w:rPr>
        <w:t>), aucune augmentation de la vis</w:t>
      </w:r>
      <w:r>
        <w:rPr>
          <w:rFonts w:ascii="Times New Roman" w:eastAsia="Times New Roman" w:hAnsi="Times New Roman" w:cs="Times New Roman"/>
          <w:lang w:eastAsia="fr-FR"/>
        </w:rPr>
        <w:t>cosité ou de la diminution de pH</w:t>
      </w:r>
      <w:r w:rsidRPr="0067253E">
        <w:rPr>
          <w:rFonts w:ascii="Times New Roman" w:eastAsia="Times New Roman" w:hAnsi="Times New Roman" w:cs="Times New Roman"/>
          <w:lang w:eastAsia="fr-FR"/>
        </w:rPr>
        <w:t xml:space="preserve"> </w:t>
      </w:r>
      <w:r>
        <w:rPr>
          <w:rFonts w:ascii="Times New Roman" w:eastAsia="Times New Roman" w:hAnsi="Times New Roman" w:cs="Times New Roman"/>
          <w:lang w:eastAsia="fr-FR"/>
        </w:rPr>
        <w:t xml:space="preserve">n’a été constatée. Lorsque le permeat contenant </w:t>
      </w:r>
      <w:r w:rsidRPr="0067253E">
        <w:rPr>
          <w:rFonts w:ascii="Times New Roman" w:eastAsia="Times New Roman" w:hAnsi="Times New Roman" w:cs="Times New Roman"/>
          <w:lang w:eastAsia="fr-FR"/>
        </w:rPr>
        <w:t xml:space="preserve">8% de protéines de lactosérum </w:t>
      </w:r>
      <w:r>
        <w:rPr>
          <w:rFonts w:ascii="Times New Roman" w:eastAsia="Times New Roman" w:hAnsi="Times New Roman" w:cs="Times New Roman"/>
          <w:lang w:eastAsia="fr-FR"/>
        </w:rPr>
        <w:t xml:space="preserve">est </w:t>
      </w:r>
      <w:r w:rsidRPr="0067253E">
        <w:rPr>
          <w:rFonts w:ascii="Times New Roman" w:eastAsia="Times New Roman" w:hAnsi="Times New Roman" w:cs="Times New Roman"/>
          <w:lang w:eastAsia="fr-FR"/>
        </w:rPr>
        <w:t>ajouté</w:t>
      </w:r>
      <w:r>
        <w:rPr>
          <w:rFonts w:ascii="Times New Roman" w:eastAsia="Times New Roman" w:hAnsi="Times New Roman" w:cs="Times New Roman"/>
          <w:lang w:eastAsia="fr-FR"/>
        </w:rPr>
        <w:t xml:space="preserve">, le coagulat est homogène et </w:t>
      </w:r>
      <w:r w:rsidRPr="0067253E">
        <w:rPr>
          <w:rFonts w:ascii="Times New Roman" w:eastAsia="Times New Roman" w:hAnsi="Times New Roman" w:cs="Times New Roman"/>
          <w:lang w:eastAsia="fr-FR"/>
        </w:rPr>
        <w:t>cohérent</w:t>
      </w:r>
      <w:r>
        <w:rPr>
          <w:rFonts w:ascii="Times New Roman" w:eastAsia="Times New Roman" w:hAnsi="Times New Roman" w:cs="Times New Roman"/>
          <w:lang w:eastAsia="fr-FR"/>
        </w:rPr>
        <w:t xml:space="preserve"> avec la présence de</w:t>
      </w:r>
      <w:r w:rsidRPr="0067253E">
        <w:rPr>
          <w:rFonts w:ascii="Times New Roman" w:eastAsia="Times New Roman" w:hAnsi="Times New Roman" w:cs="Times New Roman"/>
          <w:lang w:eastAsia="fr-FR"/>
        </w:rPr>
        <w:t xml:space="preserve"> quelques synérèses</w:t>
      </w:r>
      <w:r>
        <w:rPr>
          <w:rFonts w:ascii="Times New Roman" w:eastAsia="Times New Roman" w:hAnsi="Times New Roman" w:cs="Times New Roman"/>
          <w:lang w:eastAsia="fr-FR"/>
        </w:rPr>
        <w:t> ;</w:t>
      </w:r>
      <w:r w:rsidRPr="0067253E">
        <w:rPr>
          <w:rFonts w:ascii="Times New Roman" w:eastAsia="Times New Roman" w:hAnsi="Times New Roman" w:cs="Times New Roman"/>
          <w:lang w:eastAsia="fr-FR"/>
        </w:rPr>
        <w:t xml:space="preserve"> tandis qu</w:t>
      </w:r>
      <w:r>
        <w:rPr>
          <w:rFonts w:ascii="Times New Roman" w:eastAsia="Times New Roman" w:hAnsi="Times New Roman" w:cs="Times New Roman"/>
          <w:lang w:eastAsia="fr-FR"/>
        </w:rPr>
        <w:t>’</w:t>
      </w:r>
      <w:r w:rsidRPr="0067253E">
        <w:rPr>
          <w:rFonts w:ascii="Times New Roman" w:eastAsia="Times New Roman" w:hAnsi="Times New Roman" w:cs="Times New Roman"/>
          <w:lang w:eastAsia="fr-FR"/>
        </w:rPr>
        <w:t xml:space="preserve">avec </w:t>
      </w:r>
      <w:r>
        <w:rPr>
          <w:rFonts w:ascii="Times New Roman" w:eastAsia="Times New Roman" w:hAnsi="Times New Roman" w:cs="Times New Roman"/>
          <w:lang w:eastAsia="fr-FR"/>
        </w:rPr>
        <w:t xml:space="preserve">un permeat de </w:t>
      </w:r>
      <w:r w:rsidRPr="0067253E">
        <w:rPr>
          <w:rFonts w:ascii="Times New Roman" w:eastAsia="Times New Roman" w:hAnsi="Times New Roman" w:cs="Times New Roman"/>
          <w:lang w:eastAsia="fr-FR"/>
        </w:rPr>
        <w:t xml:space="preserve">6% </w:t>
      </w:r>
      <w:r>
        <w:rPr>
          <w:rFonts w:ascii="Times New Roman" w:eastAsia="Times New Roman" w:hAnsi="Times New Roman" w:cs="Times New Roman"/>
          <w:lang w:eastAsia="fr-FR"/>
        </w:rPr>
        <w:t>de protéine, la force du coagulat est plus faible et il n’y a pas de synérèse. Lorsque un permeat a 4% de protéines est ajouté il n’y a pas de coagulat nettement visible. Neamoins, tous ces essais d’addition de permeat influencent significativement la viscosité du lait fermenté qui varie de 0.6 à 0.8 Pa.s.</w:t>
      </w:r>
    </w:p>
    <w:p w:rsidR="006C66E7" w:rsidRPr="0067253E" w:rsidRDefault="006C66E7" w:rsidP="006C66E7">
      <w:pPr>
        <w:spacing w:before="0" w:after="0" w:line="360" w:lineRule="auto"/>
        <w:ind w:firstLine="360"/>
        <w:contextualSpacing/>
        <w:jc w:val="both"/>
        <w:rPr>
          <w:rFonts w:asciiTheme="majorBidi" w:hAnsiTheme="majorBidi" w:cstheme="majorBidi"/>
        </w:rPr>
      </w:pPr>
    </w:p>
    <w:p w:rsidR="00790063" w:rsidRPr="006C66E7" w:rsidRDefault="00790063" w:rsidP="006C66E7"/>
    <w:sectPr w:rsidR="00790063" w:rsidRPr="006C66E7" w:rsidSect="0065691B">
      <w:headerReference w:type="default" r:id="rId83"/>
      <w:footerReference w:type="default" r:id="rId84"/>
      <w:pgSz w:w="11906" w:h="16838" w:code="9"/>
      <w:pgMar w:top="1418" w:right="849" w:bottom="851" w:left="2268" w:header="709" w:footer="709" w:gutter="0"/>
      <w:pgNumType w:start="7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10CA5" w:rsidRDefault="00310CA5" w:rsidP="00F13BB2">
      <w:pPr>
        <w:spacing w:before="0" w:after="0"/>
      </w:pPr>
      <w:r>
        <w:separator/>
      </w:r>
    </w:p>
  </w:endnote>
  <w:endnote w:type="continuationSeparator" w:id="1">
    <w:p w:rsidR="00310CA5" w:rsidRDefault="00310CA5" w:rsidP="00F13BB2">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CA5" w:rsidRPr="00680C5B" w:rsidRDefault="00310CA5" w:rsidP="00225932">
    <w:pPr>
      <w:pStyle w:val="Pieddepage"/>
      <w:jc w:val="right"/>
      <w:rPr>
        <w:i/>
        <w:iCs/>
        <w:sz w:val="22"/>
        <w:szCs w:val="22"/>
      </w:rPr>
    </w:pPr>
    <w:r w:rsidRPr="006F133D">
      <w:rPr>
        <w:rFonts w:ascii="Times New Roman" w:hAnsi="Times New Roman" w:cs="Times New Roman"/>
        <w:b/>
        <w:bCs/>
        <w:i/>
        <w:iCs/>
        <w:noProof/>
        <w:sz w:val="22"/>
        <w:szCs w:val="22"/>
        <w:lang w:eastAsia="fr-FR"/>
      </w:rPr>
      <w:pict>
        <v:shapetype id="_x0000_t32" coordsize="21600,21600" o:spt="32" o:oned="t" path="m,l21600,21600e" filled="f">
          <v:path arrowok="t" fillok="f" o:connecttype="none"/>
          <o:lock v:ext="edit" shapetype="t"/>
        </v:shapetype>
        <v:shape id="_x0000_s1025" type="#_x0000_t32" style="position:absolute;left:0;text-align:left;margin-left:-24.9pt;margin-top:2.7pt;width:469.5pt;height:.75pt;flip:x;z-index:251660288" o:connectortype="straight"/>
      </w:pict>
    </w:r>
    <w:r w:rsidRPr="00680C5B">
      <w:rPr>
        <w:rFonts w:ascii="Times New Roman" w:hAnsi="Times New Roman" w:cs="Times New Roman"/>
        <w:b/>
        <w:bCs/>
        <w:i/>
        <w:iCs/>
        <w:sz w:val="22"/>
        <w:szCs w:val="22"/>
      </w:rPr>
      <w:t>Chapitre V :</w:t>
    </w:r>
    <w:r>
      <w:rPr>
        <w:rFonts w:ascii="Times New Roman" w:hAnsi="Times New Roman" w:cs="Times New Roman"/>
        <w:b/>
        <w:bCs/>
        <w:i/>
        <w:iCs/>
        <w:sz w:val="22"/>
        <w:szCs w:val="22"/>
      </w:rPr>
      <w:t xml:space="preserve"> Résultats et discussion</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10CA5" w:rsidRDefault="00310CA5" w:rsidP="00F13BB2">
      <w:pPr>
        <w:spacing w:before="0" w:after="0"/>
      </w:pPr>
      <w:r>
        <w:separator/>
      </w:r>
    </w:p>
  </w:footnote>
  <w:footnote w:type="continuationSeparator" w:id="1">
    <w:p w:rsidR="00310CA5" w:rsidRDefault="00310CA5" w:rsidP="00F13BB2">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0CA5" w:rsidRPr="00223501" w:rsidRDefault="00310CA5" w:rsidP="00F13BB2">
    <w:pPr>
      <w:pStyle w:val="En-tte"/>
      <w:ind w:firstLine="0"/>
      <w:rPr>
        <w:u w:val="single"/>
      </w:rPr>
    </w:pPr>
    <w:r w:rsidRPr="00223501">
      <w:rPr>
        <w:rFonts w:ascii="Times New Roman" w:hAnsi="Times New Roman" w:cs="Times New Roman"/>
        <w:i/>
        <w:sz w:val="16"/>
        <w:szCs w:val="16"/>
        <w:u w:val="single"/>
      </w:rPr>
      <w:t>Y.Boufadi (2009). Ingrédients protéiques, cultures starters, probiotiques et EPS dans le lait fermenté. Mag. HSAG. Univ. Mosta</w:t>
    </w:r>
    <w:r w:rsidRPr="0003138A">
      <w:rPr>
        <w:rFonts w:ascii="Book Antiqua" w:hAnsi="Book Antiqua"/>
        <w:i/>
        <w:sz w:val="16"/>
        <w:szCs w:val="16"/>
      </w:rPr>
      <w:t xml:space="preserve">    </w:t>
    </w:r>
    <w:fldSimple w:instr=" PAGE   \* MERGEFORMAT ">
      <w:r w:rsidR="004A32A6">
        <w:rPr>
          <w:noProof/>
        </w:rPr>
        <w:t>72</w:t>
      </w:r>
    </w:fldSimple>
    <w:r w:rsidRPr="00223501">
      <w:rPr>
        <w:rFonts w:ascii="Book Antiqua" w:hAnsi="Book Antiqua"/>
        <w:i/>
        <w:sz w:val="16"/>
        <w:szCs w:val="16"/>
        <w:u w:val="single"/>
      </w:rPr>
      <w:t xml:space="preserve">     </w:t>
    </w:r>
  </w:p>
  <w:p w:rsidR="00310CA5" w:rsidRDefault="00310CA5" w:rsidP="006C66E7">
    <w:pPr>
      <w:pStyle w:val="En-tte"/>
      <w:tabs>
        <w:tab w:val="clear" w:pos="9072"/>
        <w:tab w:val="right" w:pos="9540"/>
      </w:tabs>
      <w:ind w:left="-180" w:right="-496" w:hanging="360"/>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721FD7"/>
    <w:multiLevelType w:val="hybridMultilevel"/>
    <w:tmpl w:val="570A81AC"/>
    <w:lvl w:ilvl="0" w:tplc="C2468E0A">
      <w:start w:val="4"/>
      <w:numFmt w:val="bullet"/>
      <w:lvlText w:val="-"/>
      <w:lvlJc w:val="left"/>
      <w:pPr>
        <w:ind w:left="1429" w:hanging="360"/>
      </w:pPr>
      <w:rPr>
        <w:rFonts w:ascii="Times New Roman" w:eastAsia="Calibri" w:hAnsi="Times New Roman" w:cs="Times New Roman"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
    <w:nsid w:val="60B71519"/>
    <w:multiLevelType w:val="hybridMultilevel"/>
    <w:tmpl w:val="19FC1DEA"/>
    <w:lvl w:ilvl="0" w:tplc="C2468E0A">
      <w:start w:val="4"/>
      <w:numFmt w:val="bullet"/>
      <w:lvlText w:val="-"/>
      <w:lvlJc w:val="left"/>
      <w:pPr>
        <w:ind w:left="720" w:hanging="360"/>
      </w:pPr>
      <w:rPr>
        <w:rFonts w:ascii="Times New Roman" w:eastAsia="Calibri"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64321DDB"/>
    <w:multiLevelType w:val="hybridMultilevel"/>
    <w:tmpl w:val="BF52532A"/>
    <w:lvl w:ilvl="0" w:tplc="FED0F578">
      <w:start w:val="4"/>
      <w:numFmt w:val="bullet"/>
      <w:lvlText w:val="-"/>
      <w:lvlJc w:val="left"/>
      <w:pPr>
        <w:ind w:left="1069" w:hanging="360"/>
      </w:pPr>
      <w:rPr>
        <w:rFonts w:ascii="Times New Roman" w:eastAsia="Calibri" w:hAnsi="Times New Roman" w:cs="Times New Roman" w:hint="default"/>
        <w:color w:val="auto"/>
      </w:rPr>
    </w:lvl>
    <w:lvl w:ilvl="1" w:tplc="040C0003" w:tentative="1">
      <w:start w:val="1"/>
      <w:numFmt w:val="bullet"/>
      <w:lvlText w:val="o"/>
      <w:lvlJc w:val="left"/>
      <w:pPr>
        <w:ind w:left="1789" w:hanging="360"/>
      </w:pPr>
      <w:rPr>
        <w:rFonts w:ascii="Courier New" w:hAnsi="Courier New" w:cs="Courier New" w:hint="default"/>
      </w:rPr>
    </w:lvl>
    <w:lvl w:ilvl="2" w:tplc="040C0005" w:tentative="1">
      <w:start w:val="1"/>
      <w:numFmt w:val="bullet"/>
      <w:lvlText w:val=""/>
      <w:lvlJc w:val="left"/>
      <w:pPr>
        <w:ind w:left="2509" w:hanging="360"/>
      </w:pPr>
      <w:rPr>
        <w:rFonts w:ascii="Wingdings" w:hAnsi="Wingdings" w:hint="default"/>
      </w:rPr>
    </w:lvl>
    <w:lvl w:ilvl="3" w:tplc="040C0001" w:tentative="1">
      <w:start w:val="1"/>
      <w:numFmt w:val="bullet"/>
      <w:lvlText w:val=""/>
      <w:lvlJc w:val="left"/>
      <w:pPr>
        <w:ind w:left="3229" w:hanging="360"/>
      </w:pPr>
      <w:rPr>
        <w:rFonts w:ascii="Symbol" w:hAnsi="Symbol" w:hint="default"/>
      </w:rPr>
    </w:lvl>
    <w:lvl w:ilvl="4" w:tplc="040C0003" w:tentative="1">
      <w:start w:val="1"/>
      <w:numFmt w:val="bullet"/>
      <w:lvlText w:val="o"/>
      <w:lvlJc w:val="left"/>
      <w:pPr>
        <w:ind w:left="3949" w:hanging="360"/>
      </w:pPr>
      <w:rPr>
        <w:rFonts w:ascii="Courier New" w:hAnsi="Courier New" w:cs="Courier New" w:hint="default"/>
      </w:rPr>
    </w:lvl>
    <w:lvl w:ilvl="5" w:tplc="040C0005" w:tentative="1">
      <w:start w:val="1"/>
      <w:numFmt w:val="bullet"/>
      <w:lvlText w:val=""/>
      <w:lvlJc w:val="left"/>
      <w:pPr>
        <w:ind w:left="4669" w:hanging="360"/>
      </w:pPr>
      <w:rPr>
        <w:rFonts w:ascii="Wingdings" w:hAnsi="Wingdings" w:hint="default"/>
      </w:rPr>
    </w:lvl>
    <w:lvl w:ilvl="6" w:tplc="040C0001" w:tentative="1">
      <w:start w:val="1"/>
      <w:numFmt w:val="bullet"/>
      <w:lvlText w:val=""/>
      <w:lvlJc w:val="left"/>
      <w:pPr>
        <w:ind w:left="5389" w:hanging="360"/>
      </w:pPr>
      <w:rPr>
        <w:rFonts w:ascii="Symbol" w:hAnsi="Symbol" w:hint="default"/>
      </w:rPr>
    </w:lvl>
    <w:lvl w:ilvl="7" w:tplc="040C0003" w:tentative="1">
      <w:start w:val="1"/>
      <w:numFmt w:val="bullet"/>
      <w:lvlText w:val="o"/>
      <w:lvlJc w:val="left"/>
      <w:pPr>
        <w:ind w:left="6109" w:hanging="360"/>
      </w:pPr>
      <w:rPr>
        <w:rFonts w:ascii="Courier New" w:hAnsi="Courier New" w:cs="Courier New" w:hint="default"/>
      </w:rPr>
    </w:lvl>
    <w:lvl w:ilvl="8" w:tplc="040C0005" w:tentative="1">
      <w:start w:val="1"/>
      <w:numFmt w:val="bullet"/>
      <w:lvlText w:val=""/>
      <w:lvlJc w:val="left"/>
      <w:pPr>
        <w:ind w:left="6829" w:hanging="360"/>
      </w:pPr>
      <w:rPr>
        <w:rFonts w:ascii="Wingdings" w:hAnsi="Wingdings" w:hint="default"/>
      </w:rPr>
    </w:lvl>
  </w:abstractNum>
  <w:abstractNum w:abstractNumId="3">
    <w:nsid w:val="7C7A2BF0"/>
    <w:multiLevelType w:val="hybridMultilevel"/>
    <w:tmpl w:val="E4BA574E"/>
    <w:lvl w:ilvl="0" w:tplc="E0F0E92C">
      <w:start w:val="4"/>
      <w:numFmt w:val="bullet"/>
      <w:lvlText w:val="-"/>
      <w:lvlJc w:val="left"/>
      <w:pPr>
        <w:ind w:left="720" w:hanging="360"/>
      </w:pPr>
      <w:rPr>
        <w:rFonts w:ascii="Times New Roman" w:eastAsia="Calibri" w:hAnsi="Times New Roman" w:cs="Times New Roman"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168"/>
    <o:shapelayout v:ext="edit">
      <o:idmap v:ext="edit" data="1"/>
      <o:rules v:ext="edit">
        <o:r id="V:Rule2" type="connector" idref="#_x0000_s1025"/>
      </o:rules>
    </o:shapelayout>
  </w:hdrShapeDefaults>
  <w:footnotePr>
    <w:footnote w:id="0"/>
    <w:footnote w:id="1"/>
  </w:footnotePr>
  <w:endnotePr>
    <w:endnote w:id="0"/>
    <w:endnote w:id="1"/>
  </w:endnotePr>
  <w:compat/>
  <w:rsids>
    <w:rsidRoot w:val="006C66E7"/>
    <w:rsid w:val="002203B9"/>
    <w:rsid w:val="00225932"/>
    <w:rsid w:val="00310CA5"/>
    <w:rsid w:val="00427C9D"/>
    <w:rsid w:val="004A32A6"/>
    <w:rsid w:val="005D3B01"/>
    <w:rsid w:val="0065691B"/>
    <w:rsid w:val="006C66E7"/>
    <w:rsid w:val="006F133D"/>
    <w:rsid w:val="00790063"/>
    <w:rsid w:val="007F31C6"/>
    <w:rsid w:val="009469D1"/>
    <w:rsid w:val="00CC4E79"/>
    <w:rsid w:val="00D81AD1"/>
    <w:rsid w:val="00E2662A"/>
    <w:rsid w:val="00E65D4A"/>
    <w:rsid w:val="00F13BB2"/>
    <w:rsid w:val="00F22F32"/>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16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C66E7"/>
    <w:pPr>
      <w:spacing w:before="120" w:after="120" w:line="240" w:lineRule="auto"/>
      <w:ind w:firstLine="709"/>
    </w:pPr>
    <w:rPr>
      <w:rFonts w:ascii="Comic Sans MS" w:eastAsia="Calibri" w:hAnsi="Comic Sans MS" w:cs="Arial"/>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C66E7"/>
    <w:pPr>
      <w:ind w:left="720"/>
      <w:contextualSpacing/>
    </w:pPr>
  </w:style>
  <w:style w:type="paragraph" w:styleId="En-tte">
    <w:name w:val="header"/>
    <w:basedOn w:val="Normal"/>
    <w:link w:val="En-tteCar"/>
    <w:uiPriority w:val="99"/>
    <w:unhideWhenUsed/>
    <w:rsid w:val="006C66E7"/>
    <w:pPr>
      <w:tabs>
        <w:tab w:val="center" w:pos="4536"/>
        <w:tab w:val="right" w:pos="9072"/>
      </w:tabs>
    </w:pPr>
  </w:style>
  <w:style w:type="character" w:customStyle="1" w:styleId="En-tteCar">
    <w:name w:val="En-tête Car"/>
    <w:basedOn w:val="Policepardfaut"/>
    <w:link w:val="En-tte"/>
    <w:uiPriority w:val="99"/>
    <w:rsid w:val="006C66E7"/>
    <w:rPr>
      <w:rFonts w:ascii="Comic Sans MS" w:eastAsia="Calibri" w:hAnsi="Comic Sans MS" w:cs="Arial"/>
      <w:sz w:val="24"/>
      <w:szCs w:val="24"/>
    </w:rPr>
  </w:style>
  <w:style w:type="paragraph" w:styleId="Pieddepage">
    <w:name w:val="footer"/>
    <w:basedOn w:val="Normal"/>
    <w:link w:val="PieddepageCar"/>
    <w:uiPriority w:val="99"/>
    <w:unhideWhenUsed/>
    <w:rsid w:val="006C66E7"/>
    <w:pPr>
      <w:tabs>
        <w:tab w:val="center" w:pos="4536"/>
        <w:tab w:val="right" w:pos="9072"/>
      </w:tabs>
    </w:pPr>
  </w:style>
  <w:style w:type="character" w:customStyle="1" w:styleId="PieddepageCar">
    <w:name w:val="Pied de page Car"/>
    <w:basedOn w:val="Policepardfaut"/>
    <w:link w:val="Pieddepage"/>
    <w:uiPriority w:val="99"/>
    <w:rsid w:val="006C66E7"/>
    <w:rPr>
      <w:rFonts w:ascii="Comic Sans MS" w:eastAsia="Calibri" w:hAnsi="Comic Sans MS" w:cs="Arial"/>
      <w:sz w:val="24"/>
      <w:szCs w:val="24"/>
    </w:rPr>
  </w:style>
  <w:style w:type="table" w:styleId="Grilledutableau">
    <w:name w:val="Table Grid"/>
    <w:basedOn w:val="TableauNormal"/>
    <w:uiPriority w:val="59"/>
    <w:rsid w:val="006C66E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Textedebulles">
    <w:name w:val="Balloon Text"/>
    <w:basedOn w:val="Normal"/>
    <w:link w:val="TextedebullesCar"/>
    <w:uiPriority w:val="99"/>
    <w:semiHidden/>
    <w:unhideWhenUsed/>
    <w:rsid w:val="006C66E7"/>
    <w:pPr>
      <w:spacing w:before="0" w:after="0"/>
    </w:pPr>
    <w:rPr>
      <w:rFonts w:ascii="Tahoma" w:hAnsi="Tahoma" w:cs="Tahoma"/>
      <w:sz w:val="16"/>
      <w:szCs w:val="16"/>
    </w:rPr>
  </w:style>
  <w:style w:type="character" w:customStyle="1" w:styleId="TextedebullesCar">
    <w:name w:val="Texte de bulles Car"/>
    <w:basedOn w:val="Policepardfaut"/>
    <w:link w:val="Textedebulles"/>
    <w:uiPriority w:val="99"/>
    <w:semiHidden/>
    <w:rsid w:val="006C66E7"/>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chart" Target="charts/chart7.xml"/><Relationship Id="rId18" Type="http://schemas.openxmlformats.org/officeDocument/2006/relationships/chart" Target="charts/chart12.xml"/><Relationship Id="rId26" Type="http://schemas.openxmlformats.org/officeDocument/2006/relationships/chart" Target="charts/chart20.xml"/><Relationship Id="rId39" Type="http://schemas.openxmlformats.org/officeDocument/2006/relationships/chart" Target="charts/chart33.xml"/><Relationship Id="rId21" Type="http://schemas.openxmlformats.org/officeDocument/2006/relationships/chart" Target="charts/chart15.xml"/><Relationship Id="rId34" Type="http://schemas.openxmlformats.org/officeDocument/2006/relationships/chart" Target="charts/chart28.xml"/><Relationship Id="rId42" Type="http://schemas.openxmlformats.org/officeDocument/2006/relationships/chart" Target="charts/chart36.xml"/><Relationship Id="rId47" Type="http://schemas.openxmlformats.org/officeDocument/2006/relationships/chart" Target="charts/chart41.xml"/><Relationship Id="rId50" Type="http://schemas.openxmlformats.org/officeDocument/2006/relationships/chart" Target="charts/chart44.xml"/><Relationship Id="rId55" Type="http://schemas.openxmlformats.org/officeDocument/2006/relationships/chart" Target="charts/chart49.xml"/><Relationship Id="rId63" Type="http://schemas.openxmlformats.org/officeDocument/2006/relationships/chart" Target="charts/chart57.xml"/><Relationship Id="rId68" Type="http://schemas.openxmlformats.org/officeDocument/2006/relationships/chart" Target="charts/chart62.xml"/><Relationship Id="rId76" Type="http://schemas.openxmlformats.org/officeDocument/2006/relationships/chart" Target="charts/chart70.xml"/><Relationship Id="rId84" Type="http://schemas.openxmlformats.org/officeDocument/2006/relationships/footer" Target="footer1.xml"/><Relationship Id="rId7" Type="http://schemas.openxmlformats.org/officeDocument/2006/relationships/chart" Target="charts/chart1.xml"/><Relationship Id="rId71" Type="http://schemas.openxmlformats.org/officeDocument/2006/relationships/chart" Target="charts/chart65.xml"/><Relationship Id="rId2" Type="http://schemas.openxmlformats.org/officeDocument/2006/relationships/styles" Target="styles.xml"/><Relationship Id="rId16" Type="http://schemas.openxmlformats.org/officeDocument/2006/relationships/chart" Target="charts/chart10.xml"/><Relationship Id="rId29" Type="http://schemas.openxmlformats.org/officeDocument/2006/relationships/chart" Target="charts/chart23.xml"/><Relationship Id="rId11" Type="http://schemas.openxmlformats.org/officeDocument/2006/relationships/chart" Target="charts/chart5.xml"/><Relationship Id="rId24" Type="http://schemas.openxmlformats.org/officeDocument/2006/relationships/chart" Target="charts/chart18.xml"/><Relationship Id="rId32" Type="http://schemas.openxmlformats.org/officeDocument/2006/relationships/chart" Target="charts/chart26.xml"/><Relationship Id="rId37" Type="http://schemas.openxmlformats.org/officeDocument/2006/relationships/chart" Target="charts/chart31.xml"/><Relationship Id="rId40" Type="http://schemas.openxmlformats.org/officeDocument/2006/relationships/chart" Target="charts/chart34.xml"/><Relationship Id="rId45" Type="http://schemas.openxmlformats.org/officeDocument/2006/relationships/chart" Target="charts/chart39.xml"/><Relationship Id="rId53" Type="http://schemas.openxmlformats.org/officeDocument/2006/relationships/chart" Target="charts/chart47.xml"/><Relationship Id="rId58" Type="http://schemas.openxmlformats.org/officeDocument/2006/relationships/chart" Target="charts/chart52.xml"/><Relationship Id="rId66" Type="http://schemas.openxmlformats.org/officeDocument/2006/relationships/chart" Target="charts/chart60.xml"/><Relationship Id="rId74" Type="http://schemas.openxmlformats.org/officeDocument/2006/relationships/chart" Target="charts/chart68.xml"/><Relationship Id="rId79" Type="http://schemas.openxmlformats.org/officeDocument/2006/relationships/chart" Target="charts/chart73.xml"/><Relationship Id="rId5" Type="http://schemas.openxmlformats.org/officeDocument/2006/relationships/footnotes" Target="footnotes.xml"/><Relationship Id="rId61" Type="http://schemas.openxmlformats.org/officeDocument/2006/relationships/chart" Target="charts/chart55.xml"/><Relationship Id="rId82" Type="http://schemas.openxmlformats.org/officeDocument/2006/relationships/chart" Target="charts/chart76.xml"/><Relationship Id="rId19" Type="http://schemas.openxmlformats.org/officeDocument/2006/relationships/chart" Target="charts/chart13.xml"/><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chart" Target="charts/chart8.xml"/><Relationship Id="rId22" Type="http://schemas.openxmlformats.org/officeDocument/2006/relationships/chart" Target="charts/chart16.xml"/><Relationship Id="rId27" Type="http://schemas.openxmlformats.org/officeDocument/2006/relationships/chart" Target="charts/chart21.xml"/><Relationship Id="rId30" Type="http://schemas.openxmlformats.org/officeDocument/2006/relationships/chart" Target="charts/chart24.xml"/><Relationship Id="rId35" Type="http://schemas.openxmlformats.org/officeDocument/2006/relationships/chart" Target="charts/chart29.xml"/><Relationship Id="rId43" Type="http://schemas.openxmlformats.org/officeDocument/2006/relationships/chart" Target="charts/chart37.xml"/><Relationship Id="rId48" Type="http://schemas.openxmlformats.org/officeDocument/2006/relationships/chart" Target="charts/chart42.xml"/><Relationship Id="rId56" Type="http://schemas.openxmlformats.org/officeDocument/2006/relationships/chart" Target="charts/chart50.xml"/><Relationship Id="rId64" Type="http://schemas.openxmlformats.org/officeDocument/2006/relationships/chart" Target="charts/chart58.xml"/><Relationship Id="rId69" Type="http://schemas.openxmlformats.org/officeDocument/2006/relationships/chart" Target="charts/chart63.xml"/><Relationship Id="rId77" Type="http://schemas.openxmlformats.org/officeDocument/2006/relationships/chart" Target="charts/chart71.xml"/><Relationship Id="rId8" Type="http://schemas.openxmlformats.org/officeDocument/2006/relationships/chart" Target="charts/chart2.xml"/><Relationship Id="rId51" Type="http://schemas.openxmlformats.org/officeDocument/2006/relationships/chart" Target="charts/chart45.xml"/><Relationship Id="rId72" Type="http://schemas.openxmlformats.org/officeDocument/2006/relationships/chart" Target="charts/chart66.xml"/><Relationship Id="rId80" Type="http://schemas.openxmlformats.org/officeDocument/2006/relationships/chart" Target="charts/chart74.xml"/><Relationship Id="rId85"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chart" Target="charts/chart6.xml"/><Relationship Id="rId17" Type="http://schemas.openxmlformats.org/officeDocument/2006/relationships/chart" Target="charts/chart11.xml"/><Relationship Id="rId25" Type="http://schemas.openxmlformats.org/officeDocument/2006/relationships/chart" Target="charts/chart19.xml"/><Relationship Id="rId33" Type="http://schemas.openxmlformats.org/officeDocument/2006/relationships/chart" Target="charts/chart27.xml"/><Relationship Id="rId38" Type="http://schemas.openxmlformats.org/officeDocument/2006/relationships/chart" Target="charts/chart32.xml"/><Relationship Id="rId46" Type="http://schemas.openxmlformats.org/officeDocument/2006/relationships/chart" Target="charts/chart40.xml"/><Relationship Id="rId59" Type="http://schemas.openxmlformats.org/officeDocument/2006/relationships/chart" Target="charts/chart53.xml"/><Relationship Id="rId67" Type="http://schemas.openxmlformats.org/officeDocument/2006/relationships/chart" Target="charts/chart61.xml"/><Relationship Id="rId20" Type="http://schemas.openxmlformats.org/officeDocument/2006/relationships/chart" Target="charts/chart14.xml"/><Relationship Id="rId41" Type="http://schemas.openxmlformats.org/officeDocument/2006/relationships/chart" Target="charts/chart35.xml"/><Relationship Id="rId54" Type="http://schemas.openxmlformats.org/officeDocument/2006/relationships/chart" Target="charts/chart48.xml"/><Relationship Id="rId62" Type="http://schemas.openxmlformats.org/officeDocument/2006/relationships/chart" Target="charts/chart56.xml"/><Relationship Id="rId70" Type="http://schemas.openxmlformats.org/officeDocument/2006/relationships/chart" Target="charts/chart64.xml"/><Relationship Id="rId75" Type="http://schemas.openxmlformats.org/officeDocument/2006/relationships/chart" Target="charts/chart69.xml"/><Relationship Id="rId83"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chart" Target="charts/chart9.xml"/><Relationship Id="rId23" Type="http://schemas.openxmlformats.org/officeDocument/2006/relationships/chart" Target="charts/chart17.xml"/><Relationship Id="rId28" Type="http://schemas.openxmlformats.org/officeDocument/2006/relationships/chart" Target="charts/chart22.xml"/><Relationship Id="rId36" Type="http://schemas.openxmlformats.org/officeDocument/2006/relationships/chart" Target="charts/chart30.xml"/><Relationship Id="rId49" Type="http://schemas.openxmlformats.org/officeDocument/2006/relationships/chart" Target="charts/chart43.xml"/><Relationship Id="rId57" Type="http://schemas.openxmlformats.org/officeDocument/2006/relationships/chart" Target="charts/chart51.xml"/><Relationship Id="rId10" Type="http://schemas.openxmlformats.org/officeDocument/2006/relationships/chart" Target="charts/chart4.xml"/><Relationship Id="rId31" Type="http://schemas.openxmlformats.org/officeDocument/2006/relationships/chart" Target="charts/chart25.xml"/><Relationship Id="rId44" Type="http://schemas.openxmlformats.org/officeDocument/2006/relationships/chart" Target="charts/chart38.xml"/><Relationship Id="rId52" Type="http://schemas.openxmlformats.org/officeDocument/2006/relationships/chart" Target="charts/chart46.xml"/><Relationship Id="rId60" Type="http://schemas.openxmlformats.org/officeDocument/2006/relationships/chart" Target="charts/chart54.xml"/><Relationship Id="rId65" Type="http://schemas.openxmlformats.org/officeDocument/2006/relationships/chart" Target="charts/chart59.xml"/><Relationship Id="rId73" Type="http://schemas.openxmlformats.org/officeDocument/2006/relationships/chart" Target="charts/chart67.xml"/><Relationship Id="rId78" Type="http://schemas.openxmlformats.org/officeDocument/2006/relationships/chart" Target="charts/chart72.xml"/><Relationship Id="rId81" Type="http://schemas.openxmlformats.org/officeDocument/2006/relationships/chart" Target="charts/chart75.xml"/><Relationship Id="rId86"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D:\Les%20graphes%201\B.b12+stp1.xls" TargetMode="External"/></Relationships>
</file>

<file path=word/charts/_rels/chart10.xml.rels><?xml version="1.0" encoding="UTF-8" standalone="yes"?>
<Relationships xmlns="http://schemas.openxmlformats.org/package/2006/relationships"><Relationship Id="rId2" Type="http://schemas.openxmlformats.org/officeDocument/2006/relationships/chartUserShapes" Target="../drawings/drawing10.xml"/><Relationship Id="rId1" Type="http://schemas.openxmlformats.org/officeDocument/2006/relationships/oleObject" Target="file:///D:\Les%20graphes%201\B.long+stp1.xls" TargetMode="External"/></Relationships>
</file>

<file path=word/charts/_rels/chart11.xml.rels><?xml version="1.0" encoding="UTF-8" standalone="yes"?>
<Relationships xmlns="http://schemas.openxmlformats.org/package/2006/relationships"><Relationship Id="rId2" Type="http://schemas.openxmlformats.org/officeDocument/2006/relationships/chartUserShapes" Target="../drawings/drawing11.xml"/><Relationship Id="rId1" Type="http://schemas.openxmlformats.org/officeDocument/2006/relationships/oleObject" Target="file:///D:\Les%20graphes%201\L.acido+stp1.xls" TargetMode="External"/></Relationships>
</file>

<file path=word/charts/_rels/chart12.xml.rels><?xml version="1.0" encoding="UTF-8" standalone="yes"?>
<Relationships xmlns="http://schemas.openxmlformats.org/package/2006/relationships"><Relationship Id="rId2" Type="http://schemas.openxmlformats.org/officeDocument/2006/relationships/chartUserShapes" Target="../drawings/drawing12.xml"/><Relationship Id="rId1" Type="http://schemas.openxmlformats.org/officeDocument/2006/relationships/oleObject" Target="file:///D:\Les%20graphes%201\L.planta+stp1.xls" TargetMode="External"/></Relationships>
</file>

<file path=word/charts/_rels/chart13.xml.rels><?xml version="1.0" encoding="UTF-8" standalone="yes"?>
<Relationships xmlns="http://schemas.openxmlformats.org/package/2006/relationships"><Relationship Id="rId2" Type="http://schemas.openxmlformats.org/officeDocument/2006/relationships/chartUserShapes" Target="../drawings/drawing13.xml"/><Relationship Id="rId1" Type="http://schemas.openxmlformats.org/officeDocument/2006/relationships/oleObject" Target="file:///D:\Les%20graphes%201\B.b12+stp1.xls" TargetMode="External"/></Relationships>
</file>

<file path=word/charts/_rels/chart14.xml.rels><?xml version="1.0" encoding="UTF-8" standalone="yes"?>
<Relationships xmlns="http://schemas.openxmlformats.org/package/2006/relationships"><Relationship Id="rId2" Type="http://schemas.openxmlformats.org/officeDocument/2006/relationships/chartUserShapes" Target="../drawings/drawing14.xml"/><Relationship Id="rId1" Type="http://schemas.openxmlformats.org/officeDocument/2006/relationships/oleObject" Target="file:///D:\Les%20graphes%201\L.rhamno+stp1.xls" TargetMode="External"/></Relationships>
</file>

<file path=word/charts/_rels/chart15.xml.rels><?xml version="1.0" encoding="UTF-8" standalone="yes"?>
<Relationships xmlns="http://schemas.openxmlformats.org/package/2006/relationships"><Relationship Id="rId2" Type="http://schemas.openxmlformats.org/officeDocument/2006/relationships/chartUserShapes" Target="../drawings/drawing15.xml"/><Relationship Id="rId1" Type="http://schemas.openxmlformats.org/officeDocument/2006/relationships/oleObject" Target="file:///D:\Les%20graphes%201\B.long+stp1.xls" TargetMode="External"/></Relationships>
</file>

<file path=word/charts/_rels/chart16.xml.rels><?xml version="1.0" encoding="UTF-8" standalone="yes"?>
<Relationships xmlns="http://schemas.openxmlformats.org/package/2006/relationships"><Relationship Id="rId2" Type="http://schemas.openxmlformats.org/officeDocument/2006/relationships/chartUserShapes" Target="../drawings/drawing16.xml"/><Relationship Id="rId1" Type="http://schemas.openxmlformats.org/officeDocument/2006/relationships/oleObject" Target="file:///D:\Les%20graphes%201\L.acido+mixte1.xls" TargetMode="External"/></Relationships>
</file>

<file path=word/charts/_rels/chart17.xml.rels><?xml version="1.0" encoding="UTF-8" standalone="yes"?>
<Relationships xmlns="http://schemas.openxmlformats.org/package/2006/relationships"><Relationship Id="rId2" Type="http://schemas.openxmlformats.org/officeDocument/2006/relationships/chartUserShapes" Target="../drawings/drawing17.xml"/><Relationship Id="rId1" Type="http://schemas.openxmlformats.org/officeDocument/2006/relationships/oleObject" Target="file:///D:\Les%20graphes%201\L.planta+mixte1.xls" TargetMode="External"/></Relationships>
</file>

<file path=word/charts/_rels/chart18.xml.rels><?xml version="1.0" encoding="UTF-8" standalone="yes"?>
<Relationships xmlns="http://schemas.openxmlformats.org/package/2006/relationships"><Relationship Id="rId2" Type="http://schemas.openxmlformats.org/officeDocument/2006/relationships/chartUserShapes" Target="../drawings/drawing18.xml"/><Relationship Id="rId1" Type="http://schemas.openxmlformats.org/officeDocument/2006/relationships/oleObject" Target="file:///D:\Les%20graphes%201\B.b12+mixte1.xls" TargetMode="External"/></Relationships>
</file>

<file path=word/charts/_rels/chart19.xml.rels><?xml version="1.0" encoding="UTF-8" standalone="yes"?>
<Relationships xmlns="http://schemas.openxmlformats.org/package/2006/relationships"><Relationship Id="rId2" Type="http://schemas.openxmlformats.org/officeDocument/2006/relationships/chartUserShapes" Target="../drawings/drawing19.xml"/><Relationship Id="rId1" Type="http://schemas.openxmlformats.org/officeDocument/2006/relationships/oleObject" Target="file:///D:\Les%20graphes%201\L.rhamno+mixte1.xls"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D:\Les%20graphes%201\L.planta+stp1.xls" TargetMode="External"/></Relationships>
</file>

<file path=word/charts/_rels/chart20.xml.rels><?xml version="1.0" encoding="UTF-8" standalone="yes"?>
<Relationships xmlns="http://schemas.openxmlformats.org/package/2006/relationships"><Relationship Id="rId2" Type="http://schemas.openxmlformats.org/officeDocument/2006/relationships/chartUserShapes" Target="../drawings/drawing20.xml"/><Relationship Id="rId1" Type="http://schemas.openxmlformats.org/officeDocument/2006/relationships/oleObject" Target="file:///D:\Les%20graphes%201\B.long+mixte1.xls" TargetMode="External"/></Relationships>
</file>

<file path=word/charts/_rels/chart21.xml.rels><?xml version="1.0" encoding="UTF-8" standalone="yes"?>
<Relationships xmlns="http://schemas.openxmlformats.org/package/2006/relationships"><Relationship Id="rId2" Type="http://schemas.openxmlformats.org/officeDocument/2006/relationships/chartUserShapes" Target="../drawings/drawing21.xml"/><Relationship Id="rId1" Type="http://schemas.openxmlformats.org/officeDocument/2006/relationships/oleObject" Target="file:///D:\Les%20graphes%201\L.acido+mixte1.xls" TargetMode="External"/></Relationships>
</file>

<file path=word/charts/_rels/chart22.xml.rels><?xml version="1.0" encoding="UTF-8" standalone="yes"?>
<Relationships xmlns="http://schemas.openxmlformats.org/package/2006/relationships"><Relationship Id="rId2" Type="http://schemas.openxmlformats.org/officeDocument/2006/relationships/chartUserShapes" Target="../drawings/drawing22.xml"/><Relationship Id="rId1" Type="http://schemas.openxmlformats.org/officeDocument/2006/relationships/oleObject" Target="file:///D:\Les%20graphes%201\L.planta+mixte1.xls" TargetMode="External"/></Relationships>
</file>

<file path=word/charts/_rels/chart23.xml.rels><?xml version="1.0" encoding="UTF-8" standalone="yes"?>
<Relationships xmlns="http://schemas.openxmlformats.org/package/2006/relationships"><Relationship Id="rId2" Type="http://schemas.openxmlformats.org/officeDocument/2006/relationships/chartUserShapes" Target="../drawings/drawing23.xml"/><Relationship Id="rId1" Type="http://schemas.openxmlformats.org/officeDocument/2006/relationships/oleObject" Target="file:///D:\Les%20graphes%201\B.b12+mixte1.xls" TargetMode="External"/></Relationships>
</file>

<file path=word/charts/_rels/chart24.xml.rels><?xml version="1.0" encoding="UTF-8" standalone="yes"?>
<Relationships xmlns="http://schemas.openxmlformats.org/package/2006/relationships"><Relationship Id="rId2" Type="http://schemas.openxmlformats.org/officeDocument/2006/relationships/chartUserShapes" Target="../drawings/drawing24.xml"/><Relationship Id="rId1" Type="http://schemas.openxmlformats.org/officeDocument/2006/relationships/oleObject" Target="file:///D:\Les%20graphes%201\L.rhamno+mixte1.xls" TargetMode="External"/></Relationships>
</file>

<file path=word/charts/_rels/chart25.xml.rels><?xml version="1.0" encoding="UTF-8" standalone="yes"?>
<Relationships xmlns="http://schemas.openxmlformats.org/package/2006/relationships"><Relationship Id="rId2" Type="http://schemas.openxmlformats.org/officeDocument/2006/relationships/chartUserShapes" Target="../drawings/drawing25.xml"/><Relationship Id="rId1" Type="http://schemas.openxmlformats.org/officeDocument/2006/relationships/oleObject" Target="file:///D:\Les%20graphes%201\B.long+mixte1.xls" TargetMode="External"/></Relationships>
</file>

<file path=word/charts/_rels/chart26.xml.rels><?xml version="1.0" encoding="UTF-8" standalone="yes"?>
<Relationships xmlns="http://schemas.openxmlformats.org/package/2006/relationships"><Relationship Id="rId2" Type="http://schemas.openxmlformats.org/officeDocument/2006/relationships/chartUserShapes" Target="../drawings/drawing26.xml"/><Relationship Id="rId1" Type="http://schemas.openxmlformats.org/officeDocument/2006/relationships/oleObject" Target="file:///D:\Les%20graphes%201\L.acido+mixte1.xls" TargetMode="External"/></Relationships>
</file>

<file path=word/charts/_rels/chart27.xml.rels><?xml version="1.0" encoding="UTF-8" standalone="yes"?>
<Relationships xmlns="http://schemas.openxmlformats.org/package/2006/relationships"><Relationship Id="rId2" Type="http://schemas.openxmlformats.org/officeDocument/2006/relationships/chartUserShapes" Target="../drawings/drawing27.xml"/><Relationship Id="rId1" Type="http://schemas.openxmlformats.org/officeDocument/2006/relationships/oleObject" Target="file:///D:\Les%20graphes%201\L.planta+mixte1.xls" TargetMode="External"/></Relationships>
</file>

<file path=word/charts/_rels/chart28.xml.rels><?xml version="1.0" encoding="UTF-8" standalone="yes"?>
<Relationships xmlns="http://schemas.openxmlformats.org/package/2006/relationships"><Relationship Id="rId2" Type="http://schemas.openxmlformats.org/officeDocument/2006/relationships/chartUserShapes" Target="../drawings/drawing28.xml"/><Relationship Id="rId1" Type="http://schemas.openxmlformats.org/officeDocument/2006/relationships/oleObject" Target="file:///D:\Les%20graphes%201\B.b12+mixte1.xls" TargetMode="External"/></Relationships>
</file>

<file path=word/charts/_rels/chart29.xml.rels><?xml version="1.0" encoding="UTF-8" standalone="yes"?>
<Relationships xmlns="http://schemas.openxmlformats.org/package/2006/relationships"><Relationship Id="rId2" Type="http://schemas.openxmlformats.org/officeDocument/2006/relationships/chartUserShapes" Target="../drawings/drawing29.xml"/><Relationship Id="rId1" Type="http://schemas.openxmlformats.org/officeDocument/2006/relationships/oleObject" Target="file:///D:\Les%20graphes%201\L.rhamno+mixte1.xls" TargetMode="External"/></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oleObject" Target="file:///D:\Les%20graphes%201\L.acido+stp1.xls" TargetMode="External"/></Relationships>
</file>

<file path=word/charts/_rels/chart30.xml.rels><?xml version="1.0" encoding="UTF-8" standalone="yes"?>
<Relationships xmlns="http://schemas.openxmlformats.org/package/2006/relationships"><Relationship Id="rId2" Type="http://schemas.openxmlformats.org/officeDocument/2006/relationships/chartUserShapes" Target="../drawings/drawing30.xml"/><Relationship Id="rId1" Type="http://schemas.openxmlformats.org/officeDocument/2006/relationships/oleObject" Target="file:///D:\Les%20graphes%201\B.long+mixte1.xls" TargetMode="External"/></Relationships>
</file>

<file path=word/charts/_rels/chart31.xml.rels><?xml version="1.0" encoding="UTF-8" standalone="yes"?>
<Relationships xmlns="http://schemas.openxmlformats.org/package/2006/relationships"><Relationship Id="rId2" Type="http://schemas.openxmlformats.org/officeDocument/2006/relationships/chartUserShapes" Target="../drawings/drawing31.xml"/><Relationship Id="rId1" Type="http://schemas.openxmlformats.org/officeDocument/2006/relationships/oleObject" Target="file:///D:\Les%20graphes%201\L.planta+mixte1.xls" TargetMode="External"/></Relationships>
</file>

<file path=word/charts/_rels/chart32.xml.rels><?xml version="1.0" encoding="UTF-8" standalone="yes"?>
<Relationships xmlns="http://schemas.openxmlformats.org/package/2006/relationships"><Relationship Id="rId2" Type="http://schemas.openxmlformats.org/officeDocument/2006/relationships/chartUserShapes" Target="../drawings/drawing32.xml"/><Relationship Id="rId1" Type="http://schemas.openxmlformats.org/officeDocument/2006/relationships/oleObject" Target="file:///D:\Les%20graphes%201\L.acido+mixte1.xls" TargetMode="External"/></Relationships>
</file>

<file path=word/charts/_rels/chart33.xml.rels><?xml version="1.0" encoding="UTF-8" standalone="yes"?>
<Relationships xmlns="http://schemas.openxmlformats.org/package/2006/relationships"><Relationship Id="rId2" Type="http://schemas.openxmlformats.org/officeDocument/2006/relationships/chartUserShapes" Target="../drawings/drawing33.xml"/><Relationship Id="rId1" Type="http://schemas.openxmlformats.org/officeDocument/2006/relationships/oleObject" Target="file:///D:\Les%20graphes%201\B.b12+mixte1.xls" TargetMode="External"/></Relationships>
</file>

<file path=word/charts/_rels/chart34.xml.rels><?xml version="1.0" encoding="UTF-8" standalone="yes"?>
<Relationships xmlns="http://schemas.openxmlformats.org/package/2006/relationships"><Relationship Id="rId2" Type="http://schemas.openxmlformats.org/officeDocument/2006/relationships/chartUserShapes" Target="../drawings/drawing34.xml"/><Relationship Id="rId1" Type="http://schemas.openxmlformats.org/officeDocument/2006/relationships/oleObject" Target="file:///D:\Les%20graphes%201\B.long+mixte1.xls" TargetMode="External"/></Relationships>
</file>

<file path=word/charts/_rels/chart35.xml.rels><?xml version="1.0" encoding="UTF-8" standalone="yes"?>
<Relationships xmlns="http://schemas.openxmlformats.org/package/2006/relationships"><Relationship Id="rId2" Type="http://schemas.openxmlformats.org/officeDocument/2006/relationships/chartUserShapes" Target="../drawings/drawing35.xml"/><Relationship Id="rId1" Type="http://schemas.openxmlformats.org/officeDocument/2006/relationships/oleObject" Target="file:///D:\Les%20graphes%201\L.rhamno+mixte1.xls" TargetMode="External"/></Relationships>
</file>

<file path=word/charts/_rels/chart36.xml.rels><?xml version="1.0" encoding="UTF-8" standalone="yes"?>
<Relationships xmlns="http://schemas.openxmlformats.org/package/2006/relationships"><Relationship Id="rId2" Type="http://schemas.openxmlformats.org/officeDocument/2006/relationships/chartUserShapes" Target="../drawings/drawing36.xml"/><Relationship Id="rId1" Type="http://schemas.openxmlformats.org/officeDocument/2006/relationships/oleObject" Target="file:///D:\Les%20graphes%201\L.rhamno+stp1.xls" TargetMode="External"/></Relationships>
</file>

<file path=word/charts/_rels/chart37.xml.rels><?xml version="1.0" encoding="UTF-8" standalone="yes"?>
<Relationships xmlns="http://schemas.openxmlformats.org/package/2006/relationships"><Relationship Id="rId2" Type="http://schemas.openxmlformats.org/officeDocument/2006/relationships/chartUserShapes" Target="../drawings/drawing37.xml"/><Relationship Id="rId1" Type="http://schemas.openxmlformats.org/officeDocument/2006/relationships/oleObject" Target="file:///D:\Les%20graphes%201\B.long+stp1.xls" TargetMode="External"/></Relationships>
</file>

<file path=word/charts/_rels/chart38.xml.rels><?xml version="1.0" encoding="UTF-8" standalone="yes"?>
<Relationships xmlns="http://schemas.openxmlformats.org/package/2006/relationships"><Relationship Id="rId2" Type="http://schemas.openxmlformats.org/officeDocument/2006/relationships/chartUserShapes" Target="../drawings/drawing38.xml"/><Relationship Id="rId1" Type="http://schemas.openxmlformats.org/officeDocument/2006/relationships/oleObject" Target="file:///D:\Les%20graphes%201\L.acido+stp1.xls" TargetMode="External"/></Relationships>
</file>

<file path=word/charts/_rels/chart39.xml.rels><?xml version="1.0" encoding="UTF-8" standalone="yes"?>
<Relationships xmlns="http://schemas.openxmlformats.org/package/2006/relationships"><Relationship Id="rId2" Type="http://schemas.openxmlformats.org/officeDocument/2006/relationships/chartUserShapes" Target="../drawings/drawing39.xml"/><Relationship Id="rId1" Type="http://schemas.openxmlformats.org/officeDocument/2006/relationships/oleObject" Target="file:///D:\Les%20graphes%201\L.planta+stp1.xls" TargetMode="External"/></Relationships>
</file>

<file path=word/charts/_rels/chart4.xml.rels><?xml version="1.0" encoding="UTF-8" standalone="yes"?>
<Relationships xmlns="http://schemas.openxmlformats.org/package/2006/relationships"><Relationship Id="rId2" Type="http://schemas.openxmlformats.org/officeDocument/2006/relationships/chartUserShapes" Target="../drawings/drawing4.xml"/><Relationship Id="rId1" Type="http://schemas.openxmlformats.org/officeDocument/2006/relationships/oleObject" Target="file:///D:\Les%20graphes%201\B.long+stp1.xls" TargetMode="External"/></Relationships>
</file>

<file path=word/charts/_rels/chart40.xml.rels><?xml version="1.0" encoding="UTF-8" standalone="yes"?>
<Relationships xmlns="http://schemas.openxmlformats.org/package/2006/relationships"><Relationship Id="rId2" Type="http://schemas.openxmlformats.org/officeDocument/2006/relationships/chartUserShapes" Target="../drawings/drawing40.xml"/><Relationship Id="rId1" Type="http://schemas.openxmlformats.org/officeDocument/2006/relationships/oleObject" Target="file:///D:\Les%20graphes%201\B.b12+stp1.xls" TargetMode="External"/></Relationships>
</file>

<file path=word/charts/_rels/chart41.xml.rels><?xml version="1.0" encoding="UTF-8" standalone="yes"?>
<Relationships xmlns="http://schemas.openxmlformats.org/package/2006/relationships"><Relationship Id="rId2" Type="http://schemas.openxmlformats.org/officeDocument/2006/relationships/chartUserShapes" Target="../drawings/drawing41.xml"/><Relationship Id="rId1" Type="http://schemas.openxmlformats.org/officeDocument/2006/relationships/oleObject" Target="file:///D:\Les%20graphes%201\L.planta+stp1.xls" TargetMode="External"/></Relationships>
</file>

<file path=word/charts/_rels/chart42.xml.rels><?xml version="1.0" encoding="UTF-8" standalone="yes"?>
<Relationships xmlns="http://schemas.openxmlformats.org/package/2006/relationships"><Relationship Id="rId2" Type="http://schemas.openxmlformats.org/officeDocument/2006/relationships/chartUserShapes" Target="../drawings/drawing42.xml"/><Relationship Id="rId1" Type="http://schemas.openxmlformats.org/officeDocument/2006/relationships/oleObject" Target="file:///D:\Les%20graphes%201\L.acido+stp1.xls" TargetMode="External"/></Relationships>
</file>

<file path=word/charts/_rels/chart43.xml.rels><?xml version="1.0" encoding="UTF-8" standalone="yes"?>
<Relationships xmlns="http://schemas.openxmlformats.org/package/2006/relationships"><Relationship Id="rId2" Type="http://schemas.openxmlformats.org/officeDocument/2006/relationships/chartUserShapes" Target="../drawings/drawing43.xml"/><Relationship Id="rId1" Type="http://schemas.openxmlformats.org/officeDocument/2006/relationships/oleObject" Target="file:///D:\Les%20graphes%201\B.b12+stp1.xls" TargetMode="External"/></Relationships>
</file>

<file path=word/charts/_rels/chart44.xml.rels><?xml version="1.0" encoding="UTF-8" standalone="yes"?>
<Relationships xmlns="http://schemas.openxmlformats.org/package/2006/relationships"><Relationship Id="rId2" Type="http://schemas.openxmlformats.org/officeDocument/2006/relationships/chartUserShapes" Target="../drawings/drawing44.xml"/><Relationship Id="rId1" Type="http://schemas.openxmlformats.org/officeDocument/2006/relationships/oleObject" Target="file:///D:\Les%20graphes%201\L.rhamno+stp1.xls" TargetMode="External"/></Relationships>
</file>

<file path=word/charts/_rels/chart45.xml.rels><?xml version="1.0" encoding="UTF-8" standalone="yes"?>
<Relationships xmlns="http://schemas.openxmlformats.org/package/2006/relationships"><Relationship Id="rId2" Type="http://schemas.openxmlformats.org/officeDocument/2006/relationships/chartUserShapes" Target="../drawings/drawing45.xml"/><Relationship Id="rId1" Type="http://schemas.openxmlformats.org/officeDocument/2006/relationships/oleObject" Target="file:///D:\Les%20graphes%201\B.long+stp1.xls" TargetMode="External"/></Relationships>
</file>

<file path=word/charts/_rels/chart46.xml.rels><?xml version="1.0" encoding="UTF-8" standalone="yes"?>
<Relationships xmlns="http://schemas.openxmlformats.org/package/2006/relationships"><Relationship Id="rId2" Type="http://schemas.openxmlformats.org/officeDocument/2006/relationships/chartUserShapes" Target="../drawings/drawing46.xml"/><Relationship Id="rId1" Type="http://schemas.openxmlformats.org/officeDocument/2006/relationships/oleObject" Target="file:///D:\Les%20graphes%201\L.planta+stp1.xls" TargetMode="External"/></Relationships>
</file>

<file path=word/charts/_rels/chart47.xml.rels><?xml version="1.0" encoding="UTF-8" standalone="yes"?>
<Relationships xmlns="http://schemas.openxmlformats.org/package/2006/relationships"><Relationship Id="rId2" Type="http://schemas.openxmlformats.org/officeDocument/2006/relationships/chartUserShapes" Target="../drawings/drawing47.xml"/><Relationship Id="rId1" Type="http://schemas.openxmlformats.org/officeDocument/2006/relationships/oleObject" Target="file:///D:\Les%20graphes%201\L.acido+stp1.xls" TargetMode="External"/></Relationships>
</file>

<file path=word/charts/_rels/chart48.xml.rels><?xml version="1.0" encoding="UTF-8" standalone="yes"?>
<Relationships xmlns="http://schemas.openxmlformats.org/package/2006/relationships"><Relationship Id="rId2" Type="http://schemas.openxmlformats.org/officeDocument/2006/relationships/chartUserShapes" Target="../drawings/drawing48.xml"/><Relationship Id="rId1" Type="http://schemas.openxmlformats.org/officeDocument/2006/relationships/oleObject" Target="file:///D:\Les%20graphes%201\B.b12+stp1.xls" TargetMode="External"/></Relationships>
</file>

<file path=word/charts/_rels/chart49.xml.rels><?xml version="1.0" encoding="UTF-8" standalone="yes"?>
<Relationships xmlns="http://schemas.openxmlformats.org/package/2006/relationships"><Relationship Id="rId2" Type="http://schemas.openxmlformats.org/officeDocument/2006/relationships/chartUserShapes" Target="../drawings/drawing49.xml"/><Relationship Id="rId1" Type="http://schemas.openxmlformats.org/officeDocument/2006/relationships/oleObject" Target="file:///D:\Les%20graphes%201\L.rhamno+stp1.xls" TargetMode="External"/></Relationships>
</file>

<file path=word/charts/_rels/chart5.xml.rels><?xml version="1.0" encoding="UTF-8" standalone="yes"?>
<Relationships xmlns="http://schemas.openxmlformats.org/package/2006/relationships"><Relationship Id="rId2" Type="http://schemas.openxmlformats.org/officeDocument/2006/relationships/chartUserShapes" Target="../drawings/drawing5.xml"/><Relationship Id="rId1" Type="http://schemas.openxmlformats.org/officeDocument/2006/relationships/oleObject" Target="file:///D:\Les%20graphes%201\L.rhamno+stp1.xls" TargetMode="External"/></Relationships>
</file>

<file path=word/charts/_rels/chart50.xml.rels><?xml version="1.0" encoding="UTF-8" standalone="yes"?>
<Relationships xmlns="http://schemas.openxmlformats.org/package/2006/relationships"><Relationship Id="rId2" Type="http://schemas.openxmlformats.org/officeDocument/2006/relationships/chartUserShapes" Target="../drawings/drawing50.xml"/><Relationship Id="rId1" Type="http://schemas.openxmlformats.org/officeDocument/2006/relationships/oleObject" Target="file:///D:\Les%20graphes%201\B.long+stp1.xls" TargetMode="External"/></Relationships>
</file>

<file path=word/charts/_rels/chart51.xml.rels><?xml version="1.0" encoding="UTF-8" standalone="yes"?>
<Relationships xmlns="http://schemas.openxmlformats.org/package/2006/relationships"><Relationship Id="rId2" Type="http://schemas.openxmlformats.org/officeDocument/2006/relationships/chartUserShapes" Target="../drawings/drawing51.xml"/><Relationship Id="rId1" Type="http://schemas.openxmlformats.org/officeDocument/2006/relationships/oleObject" Target="file:///D:\Les%20graphes%201\L.planta+mixte1.xls" TargetMode="External"/></Relationships>
</file>

<file path=word/charts/_rels/chart52.xml.rels><?xml version="1.0" encoding="UTF-8" standalone="yes"?>
<Relationships xmlns="http://schemas.openxmlformats.org/package/2006/relationships"><Relationship Id="rId2" Type="http://schemas.openxmlformats.org/officeDocument/2006/relationships/chartUserShapes" Target="../drawings/drawing52.xml"/><Relationship Id="rId1" Type="http://schemas.openxmlformats.org/officeDocument/2006/relationships/oleObject" Target="file:///D:\Les%20graphes%201\L.acido+mixte1.xls" TargetMode="External"/></Relationships>
</file>

<file path=word/charts/_rels/chart53.xml.rels><?xml version="1.0" encoding="UTF-8" standalone="yes"?>
<Relationships xmlns="http://schemas.openxmlformats.org/package/2006/relationships"><Relationship Id="rId2" Type="http://schemas.openxmlformats.org/officeDocument/2006/relationships/chartUserShapes" Target="../drawings/drawing53.xml"/><Relationship Id="rId1" Type="http://schemas.openxmlformats.org/officeDocument/2006/relationships/oleObject" Target="file:///D:\Les%20graphes%201\B.b12+mixte1.xls" TargetMode="External"/></Relationships>
</file>

<file path=word/charts/_rels/chart54.xml.rels><?xml version="1.0" encoding="UTF-8" standalone="yes"?>
<Relationships xmlns="http://schemas.openxmlformats.org/package/2006/relationships"><Relationship Id="rId2" Type="http://schemas.openxmlformats.org/officeDocument/2006/relationships/chartUserShapes" Target="../drawings/drawing54.xml"/><Relationship Id="rId1" Type="http://schemas.openxmlformats.org/officeDocument/2006/relationships/oleObject" Target="file:///D:\Les%20graphes%201\L.rhamno+mixte1.xls" TargetMode="External"/></Relationships>
</file>

<file path=word/charts/_rels/chart55.xml.rels><?xml version="1.0" encoding="UTF-8" standalone="yes"?>
<Relationships xmlns="http://schemas.openxmlformats.org/package/2006/relationships"><Relationship Id="rId2" Type="http://schemas.openxmlformats.org/officeDocument/2006/relationships/chartUserShapes" Target="../drawings/drawing55.xml"/><Relationship Id="rId1" Type="http://schemas.openxmlformats.org/officeDocument/2006/relationships/oleObject" Target="file:///D:\Les%20graphes%201\B.long+mixte1.xls" TargetMode="External"/></Relationships>
</file>

<file path=word/charts/_rels/chart56.xml.rels><?xml version="1.0" encoding="UTF-8" standalone="yes"?>
<Relationships xmlns="http://schemas.openxmlformats.org/package/2006/relationships"><Relationship Id="rId2" Type="http://schemas.openxmlformats.org/officeDocument/2006/relationships/chartUserShapes" Target="../drawings/drawing56.xml"/><Relationship Id="rId1" Type="http://schemas.openxmlformats.org/officeDocument/2006/relationships/oleObject" Target="file:///D:\Les%20graphes%201\L.rhamno+mixte1.xls" TargetMode="External"/></Relationships>
</file>

<file path=word/charts/_rels/chart57.xml.rels><?xml version="1.0" encoding="UTF-8" standalone="yes"?>
<Relationships xmlns="http://schemas.openxmlformats.org/package/2006/relationships"><Relationship Id="rId2" Type="http://schemas.openxmlformats.org/officeDocument/2006/relationships/chartUserShapes" Target="../drawings/drawing57.xml"/><Relationship Id="rId1" Type="http://schemas.openxmlformats.org/officeDocument/2006/relationships/oleObject" Target="file:///D:\Les%20graphes%201\B.long+mixte1.xls" TargetMode="External"/></Relationships>
</file>

<file path=word/charts/_rels/chart58.xml.rels><?xml version="1.0" encoding="UTF-8" standalone="yes"?>
<Relationships xmlns="http://schemas.openxmlformats.org/package/2006/relationships"><Relationship Id="rId2" Type="http://schemas.openxmlformats.org/officeDocument/2006/relationships/chartUserShapes" Target="../drawings/drawing58.xml"/><Relationship Id="rId1" Type="http://schemas.openxmlformats.org/officeDocument/2006/relationships/oleObject" Target="file:///D:\Les%20graphes%201\L.planta+mixte1.xls" TargetMode="External"/></Relationships>
</file>

<file path=word/charts/_rels/chart59.xml.rels><?xml version="1.0" encoding="UTF-8" standalone="yes"?>
<Relationships xmlns="http://schemas.openxmlformats.org/package/2006/relationships"><Relationship Id="rId2" Type="http://schemas.openxmlformats.org/officeDocument/2006/relationships/chartUserShapes" Target="../drawings/drawing59.xml"/><Relationship Id="rId1" Type="http://schemas.openxmlformats.org/officeDocument/2006/relationships/oleObject" Target="file:///D:\Les%20graphes%201\L.acido+mixte1.xls" TargetMode="External"/></Relationships>
</file>

<file path=word/charts/_rels/chart6.xml.rels><?xml version="1.0" encoding="UTF-8" standalone="yes"?>
<Relationships xmlns="http://schemas.openxmlformats.org/package/2006/relationships"><Relationship Id="rId2" Type="http://schemas.openxmlformats.org/officeDocument/2006/relationships/chartUserShapes" Target="../drawings/drawing6.xml"/><Relationship Id="rId1" Type="http://schemas.openxmlformats.org/officeDocument/2006/relationships/oleObject" Target="file:///D:\Les%20graphes%201\L.planta+stp1.xls" TargetMode="External"/></Relationships>
</file>

<file path=word/charts/_rels/chart60.xml.rels><?xml version="1.0" encoding="UTF-8" standalone="yes"?>
<Relationships xmlns="http://schemas.openxmlformats.org/package/2006/relationships"><Relationship Id="rId2" Type="http://schemas.openxmlformats.org/officeDocument/2006/relationships/chartUserShapes" Target="../drawings/drawing60.xml"/><Relationship Id="rId1" Type="http://schemas.openxmlformats.org/officeDocument/2006/relationships/oleObject" Target="file:///D:\Les%20graphes%201\B.b12+mixte1.xls" TargetMode="External"/></Relationships>
</file>

<file path=word/charts/_rels/chart61.xml.rels><?xml version="1.0" encoding="UTF-8" standalone="yes"?>
<Relationships xmlns="http://schemas.openxmlformats.org/package/2006/relationships"><Relationship Id="rId2" Type="http://schemas.openxmlformats.org/officeDocument/2006/relationships/chartUserShapes" Target="../drawings/drawing61.xml"/><Relationship Id="rId1" Type="http://schemas.openxmlformats.org/officeDocument/2006/relationships/oleObject" Target="file:///D:\Les%20graphes%201\L.planta+mixte1.xls" TargetMode="External"/></Relationships>
</file>

<file path=word/charts/_rels/chart62.xml.rels><?xml version="1.0" encoding="UTF-8" standalone="yes"?>
<Relationships xmlns="http://schemas.openxmlformats.org/package/2006/relationships"><Relationship Id="rId2" Type="http://schemas.openxmlformats.org/officeDocument/2006/relationships/chartUserShapes" Target="../drawings/drawing62.xml"/><Relationship Id="rId1" Type="http://schemas.openxmlformats.org/officeDocument/2006/relationships/oleObject" Target="file:///D:\Les%20graphes%201\L.acido+mixte1.xls" TargetMode="External"/></Relationships>
</file>

<file path=word/charts/_rels/chart63.xml.rels><?xml version="1.0" encoding="UTF-8" standalone="yes"?>
<Relationships xmlns="http://schemas.openxmlformats.org/package/2006/relationships"><Relationship Id="rId2" Type="http://schemas.openxmlformats.org/officeDocument/2006/relationships/chartUserShapes" Target="../drawings/drawing63.xml"/><Relationship Id="rId1" Type="http://schemas.openxmlformats.org/officeDocument/2006/relationships/oleObject" Target="file:///D:\Les%20graphes%201\B.b12+mixte1.xls" TargetMode="External"/></Relationships>
</file>

<file path=word/charts/_rels/chart64.xml.rels><?xml version="1.0" encoding="UTF-8" standalone="yes"?>
<Relationships xmlns="http://schemas.openxmlformats.org/package/2006/relationships"><Relationship Id="rId2" Type="http://schemas.openxmlformats.org/officeDocument/2006/relationships/chartUserShapes" Target="../drawings/drawing64.xml"/><Relationship Id="rId1" Type="http://schemas.openxmlformats.org/officeDocument/2006/relationships/oleObject" Target="file:///D:\Les%20graphes%201\L.rhamno+mixte1.xls" TargetMode="External"/></Relationships>
</file>

<file path=word/charts/_rels/chart65.xml.rels><?xml version="1.0" encoding="UTF-8" standalone="yes"?>
<Relationships xmlns="http://schemas.openxmlformats.org/package/2006/relationships"><Relationship Id="rId2" Type="http://schemas.openxmlformats.org/officeDocument/2006/relationships/chartUserShapes" Target="../drawings/drawing65.xml"/><Relationship Id="rId1" Type="http://schemas.openxmlformats.org/officeDocument/2006/relationships/oleObject" Target="file:///D:\Les%20graphes%201\B.long+mixte1.xls" TargetMode="External"/></Relationships>
</file>

<file path=word/charts/_rels/chart66.xml.rels><?xml version="1.0" encoding="UTF-8" standalone="yes"?>
<Relationships xmlns="http://schemas.openxmlformats.org/package/2006/relationships"><Relationship Id="rId2" Type="http://schemas.openxmlformats.org/officeDocument/2006/relationships/chartUserShapes" Target="../drawings/drawing66.xml"/><Relationship Id="rId1" Type="http://schemas.openxmlformats.org/officeDocument/2006/relationships/oleObject" Target="file:///D:\Les%20graphes%201\L.planta+mixte1.xls" TargetMode="External"/></Relationships>
</file>

<file path=word/charts/_rels/chart67.xml.rels><?xml version="1.0" encoding="UTF-8" standalone="yes"?>
<Relationships xmlns="http://schemas.openxmlformats.org/package/2006/relationships"><Relationship Id="rId2" Type="http://schemas.openxmlformats.org/officeDocument/2006/relationships/chartUserShapes" Target="../drawings/drawing67.xml"/><Relationship Id="rId1" Type="http://schemas.openxmlformats.org/officeDocument/2006/relationships/oleObject" Target="file:///D:\Les%20graphes%201\L.acido+mixte1.xls" TargetMode="External"/></Relationships>
</file>

<file path=word/charts/_rels/chart68.xml.rels><?xml version="1.0" encoding="UTF-8" standalone="yes"?>
<Relationships xmlns="http://schemas.openxmlformats.org/package/2006/relationships"><Relationship Id="rId2" Type="http://schemas.openxmlformats.org/officeDocument/2006/relationships/chartUserShapes" Target="../drawings/drawing68.xml"/><Relationship Id="rId1" Type="http://schemas.openxmlformats.org/officeDocument/2006/relationships/oleObject" Target="file:///D:\Les%20graphes%201\B.b12+mixte1.xls" TargetMode="External"/></Relationships>
</file>

<file path=word/charts/_rels/chart69.xml.rels><?xml version="1.0" encoding="UTF-8" standalone="yes"?>
<Relationships xmlns="http://schemas.openxmlformats.org/package/2006/relationships"><Relationship Id="rId2" Type="http://schemas.openxmlformats.org/officeDocument/2006/relationships/chartUserShapes" Target="../drawings/drawing69.xml"/><Relationship Id="rId1" Type="http://schemas.openxmlformats.org/officeDocument/2006/relationships/oleObject" Target="file:///D:\Les%20graphes%201\L.rhamno+mixte1.xls" TargetMode="External"/></Relationships>
</file>

<file path=word/charts/_rels/chart7.xml.rels><?xml version="1.0" encoding="UTF-8" standalone="yes"?>
<Relationships xmlns="http://schemas.openxmlformats.org/package/2006/relationships"><Relationship Id="rId2" Type="http://schemas.openxmlformats.org/officeDocument/2006/relationships/chartUserShapes" Target="../drawings/drawing7.xml"/><Relationship Id="rId1" Type="http://schemas.openxmlformats.org/officeDocument/2006/relationships/oleObject" Target="file:///D:\Les%20graphes%201\L.acido+stp1.xls" TargetMode="External"/></Relationships>
</file>

<file path=word/charts/_rels/chart70.xml.rels><?xml version="1.0" encoding="UTF-8" standalone="yes"?>
<Relationships xmlns="http://schemas.openxmlformats.org/package/2006/relationships"><Relationship Id="rId2" Type="http://schemas.openxmlformats.org/officeDocument/2006/relationships/chartUserShapes" Target="../drawings/drawing70.xml"/><Relationship Id="rId1" Type="http://schemas.openxmlformats.org/officeDocument/2006/relationships/oleObject" Target="file:///D:\Les%20graphes%201\B.long+mixte1.xls" TargetMode="External"/></Relationships>
</file>

<file path=word/charts/_rels/chart71.xml.rels><?xml version="1.0" encoding="UTF-8" standalone="yes"?>
<Relationships xmlns="http://schemas.openxmlformats.org/package/2006/relationships"><Relationship Id="rId1" Type="http://schemas.openxmlformats.org/officeDocument/2006/relationships/oleObject" Target="file:///D:\Les%20graphes%201\EPS%20ferment.xls" TargetMode="External"/></Relationships>
</file>

<file path=word/charts/_rels/chart72.xml.rels><?xml version="1.0" encoding="UTF-8" standalone="yes"?>
<Relationships xmlns="http://schemas.openxmlformats.org/package/2006/relationships"><Relationship Id="rId1" Type="http://schemas.openxmlformats.org/officeDocument/2006/relationships/oleObject" Target="file:///D:\Les%20graphes%201\EPS%20ferment.xls" TargetMode="External"/></Relationships>
</file>

<file path=word/charts/_rels/chart73.xml.rels><?xml version="1.0" encoding="UTF-8" standalone="yes"?>
<Relationships xmlns="http://schemas.openxmlformats.org/package/2006/relationships"><Relationship Id="rId1" Type="http://schemas.openxmlformats.org/officeDocument/2006/relationships/oleObject" Target="file:///D:\Les%20graphes%201\EPS%20ferment.xls" TargetMode="External"/></Relationships>
</file>

<file path=word/charts/_rels/chart74.xml.rels><?xml version="1.0" encoding="UTF-8" standalone="yes"?>
<Relationships xmlns="http://schemas.openxmlformats.org/package/2006/relationships"><Relationship Id="rId1" Type="http://schemas.openxmlformats.org/officeDocument/2006/relationships/oleObject" Target="file:///D:\Les%20graphes%201\EPS%20ferment.xls" TargetMode="External"/></Relationships>
</file>

<file path=word/charts/_rels/chart75.xml.rels><?xml version="1.0" encoding="UTF-8" standalone="yes"?>
<Relationships xmlns="http://schemas.openxmlformats.org/package/2006/relationships"><Relationship Id="rId1" Type="http://schemas.openxmlformats.org/officeDocument/2006/relationships/oleObject" Target="file:///D:\Les%20graphes%201\EPS%20ferment.xls" TargetMode="External"/></Relationships>
</file>

<file path=word/charts/_rels/chart76.xml.rels><?xml version="1.0" encoding="UTF-8" standalone="yes"?>
<Relationships xmlns="http://schemas.openxmlformats.org/package/2006/relationships"><Relationship Id="rId1" Type="http://schemas.openxmlformats.org/officeDocument/2006/relationships/oleObject" Target="file:///D:\Les%20graphes%201\EPS%20ferment.xls" TargetMode="External"/></Relationships>
</file>

<file path=word/charts/_rels/chart8.xml.rels><?xml version="1.0" encoding="UTF-8" standalone="yes"?>
<Relationships xmlns="http://schemas.openxmlformats.org/package/2006/relationships"><Relationship Id="rId2" Type="http://schemas.openxmlformats.org/officeDocument/2006/relationships/chartUserShapes" Target="../drawings/drawing8.xml"/><Relationship Id="rId1" Type="http://schemas.openxmlformats.org/officeDocument/2006/relationships/oleObject" Target="file:///D:\Les%20graphes%201\B.b12+stp1.xls" TargetMode="External"/></Relationships>
</file>

<file path=word/charts/_rels/chart9.xml.rels><?xml version="1.0" encoding="UTF-8" standalone="yes"?>
<Relationships xmlns="http://schemas.openxmlformats.org/package/2006/relationships"><Relationship Id="rId2" Type="http://schemas.openxmlformats.org/officeDocument/2006/relationships/chartUserShapes" Target="../drawings/drawing9.xml"/><Relationship Id="rId1" Type="http://schemas.openxmlformats.org/officeDocument/2006/relationships/oleObject" Target="file:///D:\Les%20graphes%201\L.rhamno+stp1.xls"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a:pPr>
            <a:r>
              <a:rPr lang="fr-FR"/>
              <a:t>C</a:t>
            </a:r>
          </a:p>
        </c:rich>
      </c:tx>
      <c:layout>
        <c:manualLayout>
          <c:xMode val="edge"/>
          <c:yMode val="edge"/>
          <c:x val="1.7063054831456736E-3"/>
          <c:y val="0"/>
        </c:manualLayout>
      </c:layout>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26548779257820682"/>
          <c:y val="0.11145016420686105"/>
          <c:w val="0.66380972648690029"/>
          <c:h val="0.6656102696038092"/>
        </c:manualLayout>
      </c:layout>
      <c:lineChart>
        <c:grouping val="standard"/>
        <c:ser>
          <c:idx val="0"/>
          <c:order val="0"/>
          <c:tx>
            <c:strRef>
              <c:f>Sheet1!$B$20</c:f>
              <c:strCache>
                <c:ptCount val="1"/>
                <c:pt idx="0">
                  <c:v>1 (Temoin)</c:v>
                </c:pt>
              </c:strCache>
            </c:strRef>
          </c:tx>
          <c:spPr>
            <a:ln w="12700"/>
          </c:spPr>
          <c:errBars>
            <c:errDir val="y"/>
            <c:errBarType val="both"/>
            <c:errValType val="cust"/>
            <c:plus>
              <c:numRef>
                <c:f>Sheet1!$I$21:$M$21</c:f>
                <c:numCache>
                  <c:formatCode>General</c:formatCode>
                  <c:ptCount val="5"/>
                  <c:pt idx="0">
                    <c:v>4.6000000000000013E-2</c:v>
                  </c:pt>
                  <c:pt idx="1">
                    <c:v>2.2000000000000013E-2</c:v>
                  </c:pt>
                  <c:pt idx="2">
                    <c:v>3.1000000000000066E-2</c:v>
                  </c:pt>
                  <c:pt idx="3">
                    <c:v>3.0000000000000016E-2</c:v>
                  </c:pt>
                  <c:pt idx="4">
                    <c:v>3.6000000000000011E-2</c:v>
                  </c:pt>
                </c:numCache>
              </c:numRef>
            </c:plus>
            <c:minus>
              <c:numRef>
                <c:f>Sheet1!$I$21:$M$21</c:f>
                <c:numCache>
                  <c:formatCode>General</c:formatCode>
                  <c:ptCount val="5"/>
                  <c:pt idx="0">
                    <c:v>4.6000000000000013E-2</c:v>
                  </c:pt>
                  <c:pt idx="1">
                    <c:v>2.2000000000000013E-2</c:v>
                  </c:pt>
                  <c:pt idx="2">
                    <c:v>3.1000000000000066E-2</c:v>
                  </c:pt>
                  <c:pt idx="3">
                    <c:v>3.0000000000000016E-2</c:v>
                  </c:pt>
                  <c:pt idx="4">
                    <c:v>3.6000000000000011E-2</c:v>
                  </c:pt>
                </c:numCache>
              </c:numRef>
            </c:minus>
          </c:errBars>
          <c:cat>
            <c:strRef>
              <c:f>Sheet1!$A$21:$A$24</c:f>
              <c:strCache>
                <c:ptCount val="4"/>
                <c:pt idx="0">
                  <c:v>T0</c:v>
                </c:pt>
                <c:pt idx="1">
                  <c:v>T1</c:v>
                </c:pt>
                <c:pt idx="2">
                  <c:v>T2</c:v>
                </c:pt>
                <c:pt idx="3">
                  <c:v>T3</c:v>
                </c:pt>
              </c:strCache>
            </c:strRef>
          </c:cat>
          <c:val>
            <c:numRef>
              <c:f>Sheet1!$B$21:$B$24</c:f>
              <c:numCache>
                <c:formatCode>General</c:formatCode>
                <c:ptCount val="4"/>
                <c:pt idx="0">
                  <c:v>6.9700000000000024</c:v>
                </c:pt>
                <c:pt idx="1">
                  <c:v>7.99</c:v>
                </c:pt>
                <c:pt idx="2">
                  <c:v>8.92</c:v>
                </c:pt>
                <c:pt idx="3">
                  <c:v>9.3800000000000008</c:v>
                </c:pt>
              </c:numCache>
            </c:numRef>
          </c:val>
        </c:ser>
        <c:ser>
          <c:idx val="1"/>
          <c:order val="1"/>
          <c:tx>
            <c:strRef>
              <c:f>Sheet1!$C$20</c:f>
              <c:strCache>
                <c:ptCount val="1"/>
                <c:pt idx="0">
                  <c:v>2 (Lactoserum)</c:v>
                </c:pt>
              </c:strCache>
            </c:strRef>
          </c:tx>
          <c:spPr>
            <a:ln w="12700">
              <a:solidFill>
                <a:srgbClr val="FF9900"/>
              </a:solidFill>
            </a:ln>
          </c:spPr>
          <c:marker>
            <c:symbol val="square"/>
            <c:size val="4"/>
            <c:spPr>
              <a:solidFill>
                <a:srgbClr val="FF9900"/>
              </a:solidFill>
              <a:ln>
                <a:solidFill>
                  <a:srgbClr val="FF9900"/>
                </a:solidFill>
              </a:ln>
            </c:spPr>
          </c:marker>
          <c:errBars>
            <c:errDir val="y"/>
            <c:errBarType val="both"/>
            <c:errValType val="cust"/>
            <c:plus>
              <c:numRef>
                <c:f>Sheet2!$J$43:$J$46</c:f>
                <c:numCache>
                  <c:formatCode>General</c:formatCode>
                  <c:ptCount val="4"/>
                  <c:pt idx="0">
                    <c:v>2.2000000000000013E-2</c:v>
                  </c:pt>
                  <c:pt idx="1">
                    <c:v>2.0000000000000014E-2</c:v>
                  </c:pt>
                  <c:pt idx="2">
                    <c:v>2.5000000000000012E-2</c:v>
                  </c:pt>
                  <c:pt idx="3">
                    <c:v>3.1000000000000066E-2</c:v>
                  </c:pt>
                </c:numCache>
              </c:numRef>
            </c:plus>
            <c:minus>
              <c:numRef>
                <c:f>Sheet2!$J$43:$J$46</c:f>
                <c:numCache>
                  <c:formatCode>General</c:formatCode>
                  <c:ptCount val="4"/>
                  <c:pt idx="0">
                    <c:v>2.2000000000000013E-2</c:v>
                  </c:pt>
                  <c:pt idx="1">
                    <c:v>2.0000000000000014E-2</c:v>
                  </c:pt>
                  <c:pt idx="2">
                    <c:v>2.5000000000000012E-2</c:v>
                  </c:pt>
                  <c:pt idx="3">
                    <c:v>3.1000000000000066E-2</c:v>
                  </c:pt>
                </c:numCache>
              </c:numRef>
            </c:minus>
          </c:errBars>
          <c:cat>
            <c:strRef>
              <c:f>Sheet1!$A$21:$A$24</c:f>
              <c:strCache>
                <c:ptCount val="4"/>
                <c:pt idx="0">
                  <c:v>T0</c:v>
                </c:pt>
                <c:pt idx="1">
                  <c:v>T1</c:v>
                </c:pt>
                <c:pt idx="2">
                  <c:v>T2</c:v>
                </c:pt>
                <c:pt idx="3">
                  <c:v>T3</c:v>
                </c:pt>
              </c:strCache>
            </c:strRef>
          </c:cat>
          <c:val>
            <c:numRef>
              <c:f>Sheet1!$C$21:$C$24</c:f>
              <c:numCache>
                <c:formatCode>General</c:formatCode>
                <c:ptCount val="4"/>
                <c:pt idx="0">
                  <c:v>7.01</c:v>
                </c:pt>
                <c:pt idx="1">
                  <c:v>8.3800000000000008</c:v>
                </c:pt>
                <c:pt idx="2">
                  <c:v>9.39</c:v>
                </c:pt>
                <c:pt idx="3">
                  <c:v>10.4</c:v>
                </c:pt>
              </c:numCache>
            </c:numRef>
          </c:val>
        </c:ser>
        <c:ser>
          <c:idx val="2"/>
          <c:order val="2"/>
          <c:tx>
            <c:strRef>
              <c:f>Sheet1!$D$20</c:f>
              <c:strCache>
                <c:ptCount val="1"/>
                <c:pt idx="0">
                  <c:v>3 (Promilk)</c:v>
                </c:pt>
              </c:strCache>
            </c:strRef>
          </c:tx>
          <c:spPr>
            <a:ln w="12700">
              <a:solidFill>
                <a:srgbClr val="92D050"/>
              </a:solidFill>
            </a:ln>
          </c:spPr>
          <c:marker>
            <c:spPr>
              <a:solidFill>
                <a:srgbClr val="92D050"/>
              </a:solidFill>
              <a:ln>
                <a:solidFill>
                  <a:srgbClr val="92D050"/>
                </a:solidFill>
              </a:ln>
            </c:spPr>
          </c:marker>
          <c:errBars>
            <c:errDir val="y"/>
            <c:errBarType val="both"/>
            <c:errValType val="cust"/>
            <c:plus>
              <c:numRef>
                <c:f>Sheet1!$I$23:$M$23</c:f>
                <c:numCache>
                  <c:formatCode>General</c:formatCode>
                  <c:ptCount val="5"/>
                  <c:pt idx="0">
                    <c:v>3.6000000000000011E-2</c:v>
                  </c:pt>
                  <c:pt idx="1">
                    <c:v>2.5000000000000012E-2</c:v>
                  </c:pt>
                  <c:pt idx="2">
                    <c:v>3.6000000000000011E-2</c:v>
                  </c:pt>
                  <c:pt idx="3">
                    <c:v>3.1000000000000066E-2</c:v>
                  </c:pt>
                  <c:pt idx="4">
                    <c:v>3.1000000000000066E-2</c:v>
                  </c:pt>
                </c:numCache>
              </c:numRef>
            </c:plus>
            <c:minus>
              <c:numRef>
                <c:f>Sheet1!$I$23:$M$23</c:f>
                <c:numCache>
                  <c:formatCode>General</c:formatCode>
                  <c:ptCount val="5"/>
                  <c:pt idx="0">
                    <c:v>3.6000000000000011E-2</c:v>
                  </c:pt>
                  <c:pt idx="1">
                    <c:v>2.5000000000000012E-2</c:v>
                  </c:pt>
                  <c:pt idx="2">
                    <c:v>3.6000000000000011E-2</c:v>
                  </c:pt>
                  <c:pt idx="3">
                    <c:v>3.1000000000000066E-2</c:v>
                  </c:pt>
                  <c:pt idx="4">
                    <c:v>3.1000000000000066E-2</c:v>
                  </c:pt>
                </c:numCache>
              </c:numRef>
            </c:minus>
          </c:errBars>
          <c:cat>
            <c:strRef>
              <c:f>Sheet1!$A$21:$A$24</c:f>
              <c:strCache>
                <c:ptCount val="4"/>
                <c:pt idx="0">
                  <c:v>T0</c:v>
                </c:pt>
                <c:pt idx="1">
                  <c:v>T1</c:v>
                </c:pt>
                <c:pt idx="2">
                  <c:v>T2</c:v>
                </c:pt>
                <c:pt idx="3">
                  <c:v>T3</c:v>
                </c:pt>
              </c:strCache>
            </c:strRef>
          </c:cat>
          <c:val>
            <c:numRef>
              <c:f>Sheet1!$D$21:$D$24</c:f>
              <c:numCache>
                <c:formatCode>General</c:formatCode>
                <c:ptCount val="4"/>
                <c:pt idx="0">
                  <c:v>6.98</c:v>
                </c:pt>
                <c:pt idx="1">
                  <c:v>8.11</c:v>
                </c:pt>
                <c:pt idx="2">
                  <c:v>9.07</c:v>
                </c:pt>
                <c:pt idx="3">
                  <c:v>9.8500000000000068</c:v>
                </c:pt>
              </c:numCache>
            </c:numRef>
          </c:val>
        </c:ser>
        <c:ser>
          <c:idx val="3"/>
          <c:order val="3"/>
          <c:tx>
            <c:strRef>
              <c:f>Sheet1!$E$20</c:f>
              <c:strCache>
                <c:ptCount val="1"/>
                <c:pt idx="0">
                  <c:v>4 (H. Caseine)</c:v>
                </c:pt>
              </c:strCache>
            </c:strRef>
          </c:tx>
          <c:spPr>
            <a:ln w="12700">
              <a:solidFill>
                <a:srgbClr val="990099"/>
              </a:solidFill>
            </a:ln>
          </c:spPr>
          <c:marker>
            <c:spPr>
              <a:solidFill>
                <a:srgbClr val="990099"/>
              </a:solidFill>
              <a:ln>
                <a:solidFill>
                  <a:srgbClr val="990099"/>
                </a:solidFill>
              </a:ln>
            </c:spPr>
          </c:marker>
          <c:errBars>
            <c:errDir val="y"/>
            <c:errBarType val="both"/>
            <c:errValType val="cust"/>
            <c:plus>
              <c:numRef>
                <c:f>Sheet1!$I$24:$M$24</c:f>
                <c:numCache>
                  <c:formatCode>General</c:formatCode>
                  <c:ptCount val="5"/>
                  <c:pt idx="0">
                    <c:v>3.1000000000000066E-2</c:v>
                  </c:pt>
                  <c:pt idx="1">
                    <c:v>3.1000000000000066E-2</c:v>
                  </c:pt>
                  <c:pt idx="2">
                    <c:v>4.3000000000000003E-2</c:v>
                  </c:pt>
                  <c:pt idx="3">
                    <c:v>5.9000000000000302E-2</c:v>
                  </c:pt>
                  <c:pt idx="4">
                    <c:v>4.0000000000000029E-2</c:v>
                  </c:pt>
                </c:numCache>
              </c:numRef>
            </c:plus>
            <c:minus>
              <c:numRef>
                <c:f>Sheet1!$I$24:$M$24</c:f>
                <c:numCache>
                  <c:formatCode>General</c:formatCode>
                  <c:ptCount val="5"/>
                  <c:pt idx="0">
                    <c:v>3.1000000000000066E-2</c:v>
                  </c:pt>
                  <c:pt idx="1">
                    <c:v>3.1000000000000066E-2</c:v>
                  </c:pt>
                  <c:pt idx="2">
                    <c:v>4.3000000000000003E-2</c:v>
                  </c:pt>
                  <c:pt idx="3">
                    <c:v>5.9000000000000302E-2</c:v>
                  </c:pt>
                  <c:pt idx="4">
                    <c:v>4.0000000000000029E-2</c:v>
                  </c:pt>
                </c:numCache>
              </c:numRef>
            </c:minus>
          </c:errBars>
          <c:cat>
            <c:strRef>
              <c:f>Sheet1!$A$21:$A$24</c:f>
              <c:strCache>
                <c:ptCount val="4"/>
                <c:pt idx="0">
                  <c:v>T0</c:v>
                </c:pt>
                <c:pt idx="1">
                  <c:v>T1</c:v>
                </c:pt>
                <c:pt idx="2">
                  <c:v>T2</c:v>
                </c:pt>
                <c:pt idx="3">
                  <c:v>T3</c:v>
                </c:pt>
              </c:strCache>
            </c:strRef>
          </c:cat>
          <c:val>
            <c:numRef>
              <c:f>Sheet1!$E$21:$E$24</c:f>
              <c:numCache>
                <c:formatCode>General</c:formatCode>
                <c:ptCount val="4"/>
                <c:pt idx="0">
                  <c:v>6.9700000000000024</c:v>
                </c:pt>
                <c:pt idx="1">
                  <c:v>8.1</c:v>
                </c:pt>
                <c:pt idx="2">
                  <c:v>8.98</c:v>
                </c:pt>
                <c:pt idx="3">
                  <c:v>9.9600000000000026</c:v>
                </c:pt>
              </c:numCache>
            </c:numRef>
          </c:val>
        </c:ser>
        <c:ser>
          <c:idx val="4"/>
          <c:order val="4"/>
          <c:tx>
            <c:strRef>
              <c:f>Sheet1!$F$20</c:f>
              <c:strCache>
                <c:ptCount val="1"/>
                <c:pt idx="0">
                  <c:v>5 (H. Proteine)</c:v>
                </c:pt>
              </c:strCache>
            </c:strRef>
          </c:tx>
          <c:spPr>
            <a:ln w="12700">
              <a:solidFill>
                <a:srgbClr val="FF33CC"/>
              </a:solidFill>
            </a:ln>
          </c:spPr>
          <c:marker>
            <c:symbol val="circle"/>
            <c:size val="5"/>
            <c:spPr>
              <a:solidFill>
                <a:srgbClr val="FF33CC"/>
              </a:solidFill>
              <a:ln>
                <a:solidFill>
                  <a:srgbClr val="FF33CC"/>
                </a:solidFill>
              </a:ln>
            </c:spPr>
          </c:marker>
          <c:cat>
            <c:strRef>
              <c:f>Sheet1!$A$21:$A$24</c:f>
              <c:strCache>
                <c:ptCount val="4"/>
                <c:pt idx="0">
                  <c:v>T0</c:v>
                </c:pt>
                <c:pt idx="1">
                  <c:v>T1</c:v>
                </c:pt>
                <c:pt idx="2">
                  <c:v>T2</c:v>
                </c:pt>
                <c:pt idx="3">
                  <c:v>T3</c:v>
                </c:pt>
              </c:strCache>
            </c:strRef>
          </c:cat>
          <c:val>
            <c:numRef>
              <c:f>Sheet1!$F$21:$F$24</c:f>
              <c:numCache>
                <c:formatCode>General</c:formatCode>
                <c:ptCount val="4"/>
                <c:pt idx="0">
                  <c:v>6.98</c:v>
                </c:pt>
                <c:pt idx="1">
                  <c:v>8.26</c:v>
                </c:pt>
                <c:pt idx="2">
                  <c:v>9.1</c:v>
                </c:pt>
                <c:pt idx="3">
                  <c:v>10.050000000000002</c:v>
                </c:pt>
              </c:numCache>
            </c:numRef>
          </c:val>
        </c:ser>
        <c:marker val="1"/>
        <c:axId val="48834048"/>
        <c:axId val="56347648"/>
      </c:lineChart>
      <c:catAx>
        <c:axId val="48834048"/>
        <c:scaling>
          <c:orientation val="minMax"/>
        </c:scaling>
        <c:axPos val="b"/>
        <c:title>
          <c:tx>
            <c:rich>
              <a:bodyPr/>
              <a:lstStyle/>
              <a:p>
                <a:pPr>
                  <a:defRPr/>
                </a:pPr>
                <a:r>
                  <a:rPr lang="en-US"/>
                  <a:t>Temps (h)</a:t>
                </a:r>
              </a:p>
            </c:rich>
          </c:tx>
          <c:layout>
            <c:manualLayout>
              <c:xMode val="edge"/>
              <c:yMode val="edge"/>
              <c:x val="0.43462345363826138"/>
              <c:y val="0.91681763352220869"/>
            </c:manualLayout>
          </c:layout>
        </c:title>
        <c:numFmt formatCode="General" sourceLinked="1"/>
        <c:tickLblPos val="nextTo"/>
        <c:spPr>
          <a:noFill/>
          <a:ln w="9525">
            <a:solidFill>
              <a:schemeClr val="tx1"/>
            </a:solidFill>
          </a:ln>
        </c:spPr>
        <c:crossAx val="56347648"/>
        <c:crosses val="autoZero"/>
        <c:auto val="1"/>
        <c:lblAlgn val="ctr"/>
        <c:lblOffset val="100"/>
      </c:catAx>
      <c:valAx>
        <c:axId val="56347648"/>
        <c:scaling>
          <c:orientation val="minMax"/>
          <c:max val="11"/>
          <c:min val="6"/>
        </c:scaling>
        <c:axPos val="l"/>
        <c:title>
          <c:tx>
            <c:rich>
              <a:bodyPr rot="-5400000" vert="horz"/>
              <a:lstStyle/>
              <a:p>
                <a:pPr>
                  <a:defRPr/>
                </a:pPr>
                <a:r>
                  <a:rPr lang="en-US"/>
                  <a:t>log UFC/ml</a:t>
                </a:r>
              </a:p>
            </c:rich>
          </c:tx>
          <c:layout/>
        </c:title>
        <c:numFmt formatCode="General" sourceLinked="1"/>
        <c:tickLblPos val="nextTo"/>
        <c:spPr>
          <a:ln w="9525">
            <a:solidFill>
              <a:schemeClr val="tx1"/>
            </a:solidFill>
          </a:ln>
        </c:spPr>
        <c:crossAx val="48834048"/>
        <c:crosses val="autoZero"/>
        <c:crossBetween val="midCat"/>
        <c:majorUnit val="0.5"/>
      </c:valAx>
    </c:plotArea>
    <c:plotVisOnly val="1"/>
    <c:dispBlanksAs val="gap"/>
  </c:chart>
  <c:spPr>
    <a:ln>
      <a:solidFill>
        <a:schemeClr val="bg1"/>
      </a:solidFill>
    </a:ln>
  </c:spPr>
  <c:txPr>
    <a:bodyPr/>
    <a:lstStyle/>
    <a:p>
      <a:pPr>
        <a:defRPr b="1">
          <a:latin typeface="Times New Roman" pitchFamily="18" charset="0"/>
          <a:cs typeface="Times New Roman" pitchFamily="18" charset="0"/>
        </a:defRPr>
      </a:pPr>
      <a:endParaRPr lang="fr-FR"/>
    </a:p>
  </c:txPr>
  <c:externalData r:id="rId1"/>
  <c:userShapes r:id="rId2"/>
</c:chartSpace>
</file>

<file path=word/charts/chart10.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a:pPr>
            <a:r>
              <a:rPr lang="fr-FR"/>
              <a:t>A</a:t>
            </a:r>
          </a:p>
        </c:rich>
      </c:tx>
      <c:layout>
        <c:manualLayout>
          <c:xMode val="edge"/>
          <c:yMode val="edge"/>
          <c:x val="2.8086024130704597E-3"/>
          <c:y val="0"/>
        </c:manualLayout>
      </c:layout>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26929979906357859"/>
          <c:y val="0.12994642792938554"/>
          <c:w val="0.66087813097436965"/>
          <c:h val="0.65825737964261322"/>
        </c:manualLayout>
      </c:layout>
      <c:lineChart>
        <c:grouping val="standard"/>
        <c:ser>
          <c:idx val="0"/>
          <c:order val="0"/>
          <c:tx>
            <c:strRef>
              <c:f>Sheet1!$B$12</c:f>
              <c:strCache>
                <c:ptCount val="1"/>
                <c:pt idx="0">
                  <c:v>1 (Temoin)</c:v>
                </c:pt>
              </c:strCache>
            </c:strRef>
          </c:tx>
          <c:spPr>
            <a:ln w="12700"/>
          </c:spPr>
          <c:errBars>
            <c:errDir val="y"/>
            <c:errBarType val="both"/>
            <c:errValType val="cust"/>
            <c:plus>
              <c:numRef>
                <c:f>Sheet1!$I$13:$M$13</c:f>
                <c:numCache>
                  <c:formatCode>General</c:formatCode>
                  <c:ptCount val="5"/>
                  <c:pt idx="0">
                    <c:v>2.9000000000000001E-2</c:v>
                  </c:pt>
                  <c:pt idx="1">
                    <c:v>2.3E-2</c:v>
                  </c:pt>
                  <c:pt idx="2">
                    <c:v>3.4000000000000002E-2</c:v>
                  </c:pt>
                  <c:pt idx="3">
                    <c:v>2.9000000000000001E-2</c:v>
                  </c:pt>
                  <c:pt idx="4">
                    <c:v>3.4000000000000002E-2</c:v>
                  </c:pt>
                </c:numCache>
              </c:numRef>
            </c:plus>
            <c:minus>
              <c:numRef>
                <c:f>Sheet1!$I$13:$M$13</c:f>
                <c:numCache>
                  <c:formatCode>General</c:formatCode>
                  <c:ptCount val="5"/>
                  <c:pt idx="0">
                    <c:v>2.9000000000000001E-2</c:v>
                  </c:pt>
                  <c:pt idx="1">
                    <c:v>2.3E-2</c:v>
                  </c:pt>
                  <c:pt idx="2">
                    <c:v>3.4000000000000002E-2</c:v>
                  </c:pt>
                  <c:pt idx="3">
                    <c:v>2.9000000000000001E-2</c:v>
                  </c:pt>
                  <c:pt idx="4">
                    <c:v>3.4000000000000002E-2</c:v>
                  </c:pt>
                </c:numCache>
              </c:numRef>
            </c:minus>
          </c:errBars>
          <c:cat>
            <c:strRef>
              <c:f>Sheet1!$A$13:$A$16</c:f>
              <c:strCache>
                <c:ptCount val="4"/>
                <c:pt idx="0">
                  <c:v>T0</c:v>
                </c:pt>
                <c:pt idx="1">
                  <c:v>T1</c:v>
                </c:pt>
                <c:pt idx="2">
                  <c:v>T2</c:v>
                </c:pt>
                <c:pt idx="3">
                  <c:v>T3</c:v>
                </c:pt>
              </c:strCache>
            </c:strRef>
          </c:cat>
          <c:val>
            <c:numRef>
              <c:f>Sheet1!$B$13:$B$16</c:f>
              <c:numCache>
                <c:formatCode>General</c:formatCode>
                <c:ptCount val="4"/>
                <c:pt idx="0">
                  <c:v>5.98</c:v>
                </c:pt>
                <c:pt idx="1">
                  <c:v>6.9700000000000024</c:v>
                </c:pt>
                <c:pt idx="2">
                  <c:v>7.57</c:v>
                </c:pt>
                <c:pt idx="3">
                  <c:v>8.2800000000000011</c:v>
                </c:pt>
              </c:numCache>
            </c:numRef>
          </c:val>
        </c:ser>
        <c:ser>
          <c:idx val="1"/>
          <c:order val="1"/>
          <c:tx>
            <c:strRef>
              <c:f>Sheet1!$C$12</c:f>
              <c:strCache>
                <c:ptCount val="1"/>
                <c:pt idx="0">
                  <c:v>2 (Lactoserum)</c:v>
                </c:pt>
              </c:strCache>
            </c:strRef>
          </c:tx>
          <c:spPr>
            <a:ln w="12700">
              <a:solidFill>
                <a:srgbClr val="FF9900"/>
              </a:solidFill>
            </a:ln>
          </c:spPr>
          <c:marker>
            <c:spPr>
              <a:solidFill>
                <a:srgbClr val="FF9900"/>
              </a:solidFill>
              <a:ln>
                <a:solidFill>
                  <a:srgbClr val="FF9900"/>
                </a:solidFill>
              </a:ln>
            </c:spPr>
          </c:marker>
          <c:errBars>
            <c:errDir val="y"/>
            <c:errBarType val="both"/>
            <c:errValType val="cust"/>
            <c:plus>
              <c:numRef>
                <c:f>Sheet1!$I$14:$M$14</c:f>
                <c:numCache>
                  <c:formatCode>General</c:formatCode>
                  <c:ptCount val="5"/>
                  <c:pt idx="0">
                    <c:v>4.5000000000000012E-2</c:v>
                  </c:pt>
                  <c:pt idx="1">
                    <c:v>4.3999999999999997E-2</c:v>
                  </c:pt>
                  <c:pt idx="2">
                    <c:v>2.1999999999999999E-2</c:v>
                  </c:pt>
                  <c:pt idx="3">
                    <c:v>4.5000000000000012E-2</c:v>
                  </c:pt>
                  <c:pt idx="4">
                    <c:v>3.6999999999999998E-2</c:v>
                  </c:pt>
                </c:numCache>
              </c:numRef>
            </c:plus>
            <c:minus>
              <c:numRef>
                <c:f>Sheet1!$I$14:$M$14</c:f>
                <c:numCache>
                  <c:formatCode>General</c:formatCode>
                  <c:ptCount val="5"/>
                  <c:pt idx="0">
                    <c:v>4.5000000000000012E-2</c:v>
                  </c:pt>
                  <c:pt idx="1">
                    <c:v>4.3999999999999997E-2</c:v>
                  </c:pt>
                  <c:pt idx="2">
                    <c:v>2.1999999999999999E-2</c:v>
                  </c:pt>
                  <c:pt idx="3">
                    <c:v>4.5000000000000012E-2</c:v>
                  </c:pt>
                  <c:pt idx="4">
                    <c:v>3.6999999999999998E-2</c:v>
                  </c:pt>
                </c:numCache>
              </c:numRef>
            </c:minus>
          </c:errBars>
          <c:cat>
            <c:strRef>
              <c:f>Sheet1!$A$13:$A$16</c:f>
              <c:strCache>
                <c:ptCount val="4"/>
                <c:pt idx="0">
                  <c:v>T0</c:v>
                </c:pt>
                <c:pt idx="1">
                  <c:v>T1</c:v>
                </c:pt>
                <c:pt idx="2">
                  <c:v>T2</c:v>
                </c:pt>
                <c:pt idx="3">
                  <c:v>T3</c:v>
                </c:pt>
              </c:strCache>
            </c:strRef>
          </c:cat>
          <c:val>
            <c:numRef>
              <c:f>Sheet1!$C$13:$C$16</c:f>
              <c:numCache>
                <c:formatCode>General</c:formatCode>
                <c:ptCount val="4"/>
                <c:pt idx="0">
                  <c:v>5.98</c:v>
                </c:pt>
                <c:pt idx="1">
                  <c:v>7.21</c:v>
                </c:pt>
                <c:pt idx="2">
                  <c:v>8.16</c:v>
                </c:pt>
                <c:pt idx="3">
                  <c:v>9.42</c:v>
                </c:pt>
              </c:numCache>
            </c:numRef>
          </c:val>
        </c:ser>
        <c:ser>
          <c:idx val="2"/>
          <c:order val="2"/>
          <c:tx>
            <c:strRef>
              <c:f>Sheet1!$D$12</c:f>
              <c:strCache>
                <c:ptCount val="1"/>
                <c:pt idx="0">
                  <c:v>3 (Promilk)</c:v>
                </c:pt>
              </c:strCache>
            </c:strRef>
          </c:tx>
          <c:spPr>
            <a:ln w="12700">
              <a:solidFill>
                <a:srgbClr val="92D050"/>
              </a:solidFill>
            </a:ln>
          </c:spPr>
          <c:marker>
            <c:spPr>
              <a:solidFill>
                <a:srgbClr val="92D050"/>
              </a:solidFill>
              <a:ln>
                <a:solidFill>
                  <a:srgbClr val="92D050"/>
                </a:solidFill>
              </a:ln>
            </c:spPr>
          </c:marker>
          <c:errBars>
            <c:errDir val="y"/>
            <c:errBarType val="both"/>
            <c:errValType val="cust"/>
            <c:plus>
              <c:numRef>
                <c:f>Sheet1!$I$15:$M$15</c:f>
                <c:numCache>
                  <c:formatCode>General</c:formatCode>
                  <c:ptCount val="5"/>
                  <c:pt idx="0">
                    <c:v>6.4000000000000112E-2</c:v>
                  </c:pt>
                  <c:pt idx="1">
                    <c:v>3.1000000000000052E-2</c:v>
                  </c:pt>
                  <c:pt idx="2">
                    <c:v>2.8000000000000001E-2</c:v>
                  </c:pt>
                  <c:pt idx="3">
                    <c:v>3.0000000000000002E-2</c:v>
                  </c:pt>
                  <c:pt idx="4">
                    <c:v>2.1000000000000012E-2</c:v>
                  </c:pt>
                </c:numCache>
              </c:numRef>
            </c:plus>
            <c:minus>
              <c:numRef>
                <c:f>Sheet1!$I$15:$M$15</c:f>
                <c:numCache>
                  <c:formatCode>General</c:formatCode>
                  <c:ptCount val="5"/>
                  <c:pt idx="0">
                    <c:v>6.4000000000000112E-2</c:v>
                  </c:pt>
                  <c:pt idx="1">
                    <c:v>3.1000000000000052E-2</c:v>
                  </c:pt>
                  <c:pt idx="2">
                    <c:v>2.8000000000000001E-2</c:v>
                  </c:pt>
                  <c:pt idx="3">
                    <c:v>3.0000000000000002E-2</c:v>
                  </c:pt>
                  <c:pt idx="4">
                    <c:v>2.1000000000000012E-2</c:v>
                  </c:pt>
                </c:numCache>
              </c:numRef>
            </c:minus>
          </c:errBars>
          <c:cat>
            <c:strRef>
              <c:f>Sheet1!$A$13:$A$16</c:f>
              <c:strCache>
                <c:ptCount val="4"/>
                <c:pt idx="0">
                  <c:v>T0</c:v>
                </c:pt>
                <c:pt idx="1">
                  <c:v>T1</c:v>
                </c:pt>
                <c:pt idx="2">
                  <c:v>T2</c:v>
                </c:pt>
                <c:pt idx="3">
                  <c:v>T3</c:v>
                </c:pt>
              </c:strCache>
            </c:strRef>
          </c:cat>
          <c:val>
            <c:numRef>
              <c:f>Sheet1!$D$13:$D$16</c:f>
              <c:numCache>
                <c:formatCode>General</c:formatCode>
                <c:ptCount val="4"/>
                <c:pt idx="0">
                  <c:v>5.9700000000000024</c:v>
                </c:pt>
                <c:pt idx="1">
                  <c:v>7.04</c:v>
                </c:pt>
                <c:pt idx="2">
                  <c:v>8.01</c:v>
                </c:pt>
                <c:pt idx="3">
                  <c:v>9.0300000000000011</c:v>
                </c:pt>
              </c:numCache>
            </c:numRef>
          </c:val>
        </c:ser>
        <c:ser>
          <c:idx val="3"/>
          <c:order val="3"/>
          <c:tx>
            <c:strRef>
              <c:f>Sheet1!$E$12</c:f>
              <c:strCache>
                <c:ptCount val="1"/>
                <c:pt idx="0">
                  <c:v>4 (H. Caseine)</c:v>
                </c:pt>
              </c:strCache>
            </c:strRef>
          </c:tx>
          <c:spPr>
            <a:ln w="12700">
              <a:solidFill>
                <a:srgbClr val="990099"/>
              </a:solidFill>
            </a:ln>
          </c:spPr>
          <c:marker>
            <c:spPr>
              <a:solidFill>
                <a:srgbClr val="990099"/>
              </a:solidFill>
              <a:ln>
                <a:solidFill>
                  <a:srgbClr val="990099"/>
                </a:solidFill>
              </a:ln>
            </c:spPr>
          </c:marker>
          <c:errBars>
            <c:errDir val="y"/>
            <c:errBarType val="both"/>
            <c:errValType val="cust"/>
            <c:plus>
              <c:numRef>
                <c:f>Sheet1!$I$16:$M$16</c:f>
                <c:numCache>
                  <c:formatCode>General</c:formatCode>
                  <c:ptCount val="5"/>
                  <c:pt idx="0">
                    <c:v>3.9000000000000014E-2</c:v>
                  </c:pt>
                  <c:pt idx="1">
                    <c:v>2.7000000000000156E-2</c:v>
                  </c:pt>
                  <c:pt idx="2">
                    <c:v>3.3000000000000002E-2</c:v>
                  </c:pt>
                  <c:pt idx="3">
                    <c:v>4.0000000000000022E-2</c:v>
                  </c:pt>
                  <c:pt idx="4">
                    <c:v>4.5000000000000012E-2</c:v>
                  </c:pt>
                </c:numCache>
              </c:numRef>
            </c:plus>
            <c:minus>
              <c:numRef>
                <c:f>Sheet1!$I$16:$M$16</c:f>
                <c:numCache>
                  <c:formatCode>General</c:formatCode>
                  <c:ptCount val="5"/>
                  <c:pt idx="0">
                    <c:v>3.9000000000000014E-2</c:v>
                  </c:pt>
                  <c:pt idx="1">
                    <c:v>2.7000000000000156E-2</c:v>
                  </c:pt>
                  <c:pt idx="2">
                    <c:v>3.3000000000000002E-2</c:v>
                  </c:pt>
                  <c:pt idx="3">
                    <c:v>4.0000000000000022E-2</c:v>
                  </c:pt>
                  <c:pt idx="4">
                    <c:v>4.5000000000000012E-2</c:v>
                  </c:pt>
                </c:numCache>
              </c:numRef>
            </c:minus>
          </c:errBars>
          <c:cat>
            <c:strRef>
              <c:f>Sheet1!$A$13:$A$16</c:f>
              <c:strCache>
                <c:ptCount val="4"/>
                <c:pt idx="0">
                  <c:v>T0</c:v>
                </c:pt>
                <c:pt idx="1">
                  <c:v>T1</c:v>
                </c:pt>
                <c:pt idx="2">
                  <c:v>T2</c:v>
                </c:pt>
                <c:pt idx="3">
                  <c:v>T3</c:v>
                </c:pt>
              </c:strCache>
            </c:strRef>
          </c:cat>
          <c:val>
            <c:numRef>
              <c:f>Sheet1!$E$13:$E$16</c:f>
              <c:numCache>
                <c:formatCode>General</c:formatCode>
                <c:ptCount val="4"/>
                <c:pt idx="0">
                  <c:v>5.9700000000000024</c:v>
                </c:pt>
                <c:pt idx="1">
                  <c:v>7.1199999999999966</c:v>
                </c:pt>
                <c:pt idx="2">
                  <c:v>8.1</c:v>
                </c:pt>
                <c:pt idx="3">
                  <c:v>9.129999999999999</c:v>
                </c:pt>
              </c:numCache>
            </c:numRef>
          </c:val>
        </c:ser>
        <c:ser>
          <c:idx val="4"/>
          <c:order val="4"/>
          <c:tx>
            <c:strRef>
              <c:f>Sheet1!$F$12</c:f>
              <c:strCache>
                <c:ptCount val="1"/>
                <c:pt idx="0">
                  <c:v>5 (H. Proteine)</c:v>
                </c:pt>
              </c:strCache>
            </c:strRef>
          </c:tx>
          <c:spPr>
            <a:ln w="12700">
              <a:solidFill>
                <a:srgbClr val="FF33CC"/>
              </a:solidFill>
            </a:ln>
          </c:spPr>
          <c:marker>
            <c:symbol val="circle"/>
            <c:size val="4"/>
            <c:spPr>
              <a:solidFill>
                <a:srgbClr val="FF33CC"/>
              </a:solidFill>
              <a:ln>
                <a:solidFill>
                  <a:srgbClr val="FF33CC"/>
                </a:solidFill>
              </a:ln>
            </c:spPr>
          </c:marker>
          <c:errBars>
            <c:errDir val="y"/>
            <c:errBarType val="both"/>
            <c:errValType val="cust"/>
            <c:plus>
              <c:numRef>
                <c:f>Sheet2!$M$22:$M$25</c:f>
                <c:numCache>
                  <c:formatCode>General</c:formatCode>
                  <c:ptCount val="4"/>
                  <c:pt idx="0">
                    <c:v>3.4000000000000002E-2</c:v>
                  </c:pt>
                  <c:pt idx="1">
                    <c:v>3.6999999999999998E-2</c:v>
                  </c:pt>
                  <c:pt idx="2">
                    <c:v>2.1000000000000012E-2</c:v>
                  </c:pt>
                  <c:pt idx="3">
                    <c:v>4.5000000000000012E-2</c:v>
                  </c:pt>
                </c:numCache>
              </c:numRef>
            </c:plus>
            <c:minus>
              <c:numRef>
                <c:f>Sheet2!$M$22:$M$25</c:f>
                <c:numCache>
                  <c:formatCode>General</c:formatCode>
                  <c:ptCount val="4"/>
                  <c:pt idx="0">
                    <c:v>3.4000000000000002E-2</c:v>
                  </c:pt>
                  <c:pt idx="1">
                    <c:v>3.6999999999999998E-2</c:v>
                  </c:pt>
                  <c:pt idx="2">
                    <c:v>2.1000000000000012E-2</c:v>
                  </c:pt>
                  <c:pt idx="3">
                    <c:v>4.5000000000000012E-2</c:v>
                  </c:pt>
                </c:numCache>
              </c:numRef>
            </c:minus>
            <c:spPr>
              <a:ln w="3175">
                <a:solidFill>
                  <a:srgbClr val="000000"/>
                </a:solidFill>
                <a:prstDash val="solid"/>
              </a:ln>
            </c:spPr>
          </c:errBars>
          <c:cat>
            <c:strRef>
              <c:f>Sheet1!$A$13:$A$16</c:f>
              <c:strCache>
                <c:ptCount val="4"/>
                <c:pt idx="0">
                  <c:v>T0</c:v>
                </c:pt>
                <c:pt idx="1">
                  <c:v>T1</c:v>
                </c:pt>
                <c:pt idx="2">
                  <c:v>T2</c:v>
                </c:pt>
                <c:pt idx="3">
                  <c:v>T3</c:v>
                </c:pt>
              </c:strCache>
            </c:strRef>
          </c:cat>
          <c:val>
            <c:numRef>
              <c:f>Sheet1!$F$13:$F$16</c:f>
              <c:numCache>
                <c:formatCode>General</c:formatCode>
                <c:ptCount val="4"/>
                <c:pt idx="0">
                  <c:v>5.99</c:v>
                </c:pt>
                <c:pt idx="1">
                  <c:v>7.29</c:v>
                </c:pt>
                <c:pt idx="2">
                  <c:v>8.3600000000000048</c:v>
                </c:pt>
                <c:pt idx="3">
                  <c:v>9.61</c:v>
                </c:pt>
              </c:numCache>
            </c:numRef>
          </c:val>
        </c:ser>
        <c:marker val="1"/>
        <c:axId val="58861824"/>
        <c:axId val="58880384"/>
      </c:lineChart>
      <c:catAx>
        <c:axId val="58861824"/>
        <c:scaling>
          <c:orientation val="minMax"/>
        </c:scaling>
        <c:axPos val="b"/>
        <c:title>
          <c:tx>
            <c:rich>
              <a:bodyPr/>
              <a:lstStyle/>
              <a:p>
                <a:pPr>
                  <a:defRPr/>
                </a:pPr>
                <a:r>
                  <a:rPr lang="en-US"/>
                  <a:t>Temps (h)</a:t>
                </a:r>
              </a:p>
            </c:rich>
          </c:tx>
          <c:layout>
            <c:manualLayout>
              <c:xMode val="edge"/>
              <c:yMode val="edge"/>
              <c:x val="0.45899224135444938"/>
              <c:y val="0.92417743155771004"/>
            </c:manualLayout>
          </c:layout>
        </c:title>
        <c:numFmt formatCode="General" sourceLinked="1"/>
        <c:tickLblPos val="nextTo"/>
        <c:spPr>
          <a:ln w="9525">
            <a:solidFill>
              <a:sysClr val="windowText" lastClr="000000"/>
            </a:solidFill>
          </a:ln>
        </c:spPr>
        <c:txPr>
          <a:bodyPr/>
          <a:lstStyle/>
          <a:p>
            <a:pPr>
              <a:defRPr b="1" i="0" baseline="0"/>
            </a:pPr>
            <a:endParaRPr lang="fr-FR"/>
          </a:p>
        </c:txPr>
        <c:crossAx val="58880384"/>
        <c:crosses val="autoZero"/>
        <c:auto val="1"/>
        <c:lblAlgn val="ctr"/>
        <c:lblOffset val="100"/>
      </c:catAx>
      <c:valAx>
        <c:axId val="58880384"/>
        <c:scaling>
          <c:orientation val="minMax"/>
          <c:max val="10"/>
          <c:min val="5"/>
        </c:scaling>
        <c:axPos val="l"/>
        <c:title>
          <c:tx>
            <c:rich>
              <a:bodyPr rot="-5400000" vert="horz"/>
              <a:lstStyle/>
              <a:p>
                <a:pPr>
                  <a:defRPr/>
                </a:pPr>
                <a:r>
                  <a:rPr lang="en-US"/>
                  <a:t>log UFC/ml</a:t>
                </a:r>
              </a:p>
            </c:rich>
          </c:tx>
          <c:layout/>
        </c:title>
        <c:numFmt formatCode="General" sourceLinked="1"/>
        <c:tickLblPos val="nextTo"/>
        <c:spPr>
          <a:ln w="9525">
            <a:solidFill>
              <a:schemeClr val="tx1"/>
            </a:solidFill>
          </a:ln>
        </c:spPr>
        <c:txPr>
          <a:bodyPr/>
          <a:lstStyle/>
          <a:p>
            <a:pPr>
              <a:defRPr b="1" i="0" baseline="0"/>
            </a:pPr>
            <a:endParaRPr lang="fr-FR"/>
          </a:p>
        </c:txPr>
        <c:crossAx val="58861824"/>
        <c:crosses val="autoZero"/>
        <c:crossBetween val="midCat"/>
        <c:majorUnit val="0.5"/>
      </c:valAx>
    </c:plotArea>
    <c:plotVisOnly val="1"/>
    <c:dispBlanksAs val="gap"/>
  </c:chart>
  <c:spPr>
    <a:ln>
      <a:solidFill>
        <a:schemeClr val="bg1"/>
      </a:solidFill>
    </a:ln>
  </c:spPr>
  <c:txPr>
    <a:bodyPr/>
    <a:lstStyle/>
    <a:p>
      <a:pPr>
        <a:defRPr>
          <a:latin typeface="Times New Roman" pitchFamily="18" charset="0"/>
          <a:cs typeface="Times New Roman" pitchFamily="18" charset="0"/>
        </a:defRPr>
      </a:pPr>
      <a:endParaRPr lang="fr-FR"/>
    </a:p>
  </c:txPr>
  <c:externalData r:id="rId1"/>
  <c:userShapes r:id="rId2"/>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a:pPr>
            <a:r>
              <a:rPr lang="fr-FR" sz="1800" b="1"/>
              <a:t>D</a:t>
            </a:r>
          </a:p>
        </c:rich>
      </c:tx>
      <c:layout>
        <c:manualLayout>
          <c:xMode val="edge"/>
          <c:yMode val="edge"/>
          <c:x val="3.5971223021582822E-3"/>
          <c:y val="2.1186440677966167E-2"/>
        </c:manualLayout>
      </c:layout>
      <c:spPr>
        <a:solidFill>
          <a:schemeClr val="bg1">
            <a:lumMod val="85000"/>
          </a:schemeClr>
        </a:solidFill>
        <a:scene3d>
          <a:camera prst="orthographicFront"/>
          <a:lightRig rig="threePt" dir="t"/>
        </a:scene3d>
        <a:sp3d>
          <a:bevelT w="190500" h="38100"/>
        </a:sp3d>
      </c:spPr>
    </c:title>
    <c:plotArea>
      <c:layout>
        <c:manualLayout>
          <c:layoutTarget val="inner"/>
          <c:xMode val="edge"/>
          <c:yMode val="edge"/>
          <c:x val="0.23652061139416397"/>
          <c:y val="9.7544146810898347E-2"/>
          <c:w val="0.69674880567986852"/>
          <c:h val="0.6845627656625175"/>
        </c:manualLayout>
      </c:layout>
      <c:lineChart>
        <c:grouping val="standard"/>
        <c:ser>
          <c:idx val="0"/>
          <c:order val="0"/>
          <c:tx>
            <c:strRef>
              <c:f>Sheet1!$B$4</c:f>
              <c:strCache>
                <c:ptCount val="1"/>
                <c:pt idx="0">
                  <c:v>1 (Temoin)</c:v>
                </c:pt>
              </c:strCache>
            </c:strRef>
          </c:tx>
          <c:spPr>
            <a:ln w="12700"/>
          </c:spPr>
          <c:errBars>
            <c:errDir val="y"/>
            <c:errBarType val="both"/>
            <c:errValType val="cust"/>
            <c:plus>
              <c:numRef>
                <c:f>Sheet1!$I$5:$M$5</c:f>
                <c:numCache>
                  <c:formatCode>General</c:formatCode>
                  <c:ptCount val="5"/>
                  <c:pt idx="0">
                    <c:v>2.3E-2</c:v>
                  </c:pt>
                  <c:pt idx="1">
                    <c:v>3.9000000000000014E-2</c:v>
                  </c:pt>
                  <c:pt idx="2">
                    <c:v>3.2000000000000042E-2</c:v>
                  </c:pt>
                  <c:pt idx="3">
                    <c:v>2.9000000000000001E-2</c:v>
                  </c:pt>
                  <c:pt idx="4">
                    <c:v>4.0000000000000022E-2</c:v>
                  </c:pt>
                </c:numCache>
              </c:numRef>
            </c:plus>
            <c:minus>
              <c:numRef>
                <c:f>Sheet1!$I$5:$M$5</c:f>
                <c:numCache>
                  <c:formatCode>General</c:formatCode>
                  <c:ptCount val="5"/>
                  <c:pt idx="0">
                    <c:v>2.3E-2</c:v>
                  </c:pt>
                  <c:pt idx="1">
                    <c:v>3.9000000000000014E-2</c:v>
                  </c:pt>
                  <c:pt idx="2">
                    <c:v>3.2000000000000042E-2</c:v>
                  </c:pt>
                  <c:pt idx="3">
                    <c:v>2.9000000000000001E-2</c:v>
                  </c:pt>
                  <c:pt idx="4">
                    <c:v>4.0000000000000022E-2</c:v>
                  </c:pt>
                </c:numCache>
              </c:numRef>
            </c:minus>
          </c:errBars>
          <c:cat>
            <c:strRef>
              <c:f>Sheet1!$A$5:$A$8</c:f>
              <c:strCache>
                <c:ptCount val="4"/>
                <c:pt idx="0">
                  <c:v>T0</c:v>
                </c:pt>
                <c:pt idx="1">
                  <c:v>T1</c:v>
                </c:pt>
                <c:pt idx="2">
                  <c:v>T2</c:v>
                </c:pt>
                <c:pt idx="3">
                  <c:v>T3</c:v>
                </c:pt>
              </c:strCache>
            </c:strRef>
          </c:cat>
          <c:val>
            <c:numRef>
              <c:f>Sheet1!$B$5:$B$8</c:f>
              <c:numCache>
                <c:formatCode>General</c:formatCode>
                <c:ptCount val="4"/>
                <c:pt idx="0">
                  <c:v>6.6</c:v>
                </c:pt>
                <c:pt idx="1">
                  <c:v>6.13</c:v>
                </c:pt>
                <c:pt idx="2">
                  <c:v>5.38</c:v>
                </c:pt>
                <c:pt idx="3">
                  <c:v>4.9700000000000024</c:v>
                </c:pt>
              </c:numCache>
            </c:numRef>
          </c:val>
        </c:ser>
        <c:ser>
          <c:idx val="1"/>
          <c:order val="1"/>
          <c:tx>
            <c:strRef>
              <c:f>Sheet1!$C$4</c:f>
              <c:strCache>
                <c:ptCount val="1"/>
                <c:pt idx="0">
                  <c:v>2 (Lactoserum)</c:v>
                </c:pt>
              </c:strCache>
            </c:strRef>
          </c:tx>
          <c:spPr>
            <a:ln w="12700">
              <a:solidFill>
                <a:srgbClr val="FF9900"/>
              </a:solidFill>
            </a:ln>
          </c:spPr>
          <c:marker>
            <c:symbol val="square"/>
            <c:size val="4"/>
            <c:spPr>
              <a:solidFill>
                <a:srgbClr val="FF9900"/>
              </a:solidFill>
              <a:ln>
                <a:solidFill>
                  <a:srgbClr val="FF9900"/>
                </a:solidFill>
              </a:ln>
            </c:spPr>
          </c:marker>
          <c:errBars>
            <c:errDir val="y"/>
            <c:errBarType val="both"/>
            <c:errValType val="cust"/>
            <c:plus>
              <c:numRef>
                <c:f>Sheet1!$I$6:$M$6</c:f>
                <c:numCache>
                  <c:formatCode>General</c:formatCode>
                  <c:ptCount val="5"/>
                  <c:pt idx="0">
                    <c:v>2.3E-2</c:v>
                  </c:pt>
                  <c:pt idx="1">
                    <c:v>3.6999999999999998E-2</c:v>
                  </c:pt>
                  <c:pt idx="2">
                    <c:v>2.9000000000000001E-2</c:v>
                  </c:pt>
                  <c:pt idx="3">
                    <c:v>3.9000000000000014E-2</c:v>
                  </c:pt>
                  <c:pt idx="4">
                    <c:v>1.7999999999999999E-2</c:v>
                  </c:pt>
                </c:numCache>
              </c:numRef>
            </c:plus>
            <c:minus>
              <c:numRef>
                <c:f>Sheet1!$I$6:$M$6</c:f>
                <c:numCache>
                  <c:formatCode>General</c:formatCode>
                  <c:ptCount val="5"/>
                  <c:pt idx="0">
                    <c:v>2.3E-2</c:v>
                  </c:pt>
                  <c:pt idx="1">
                    <c:v>3.6999999999999998E-2</c:v>
                  </c:pt>
                  <c:pt idx="2">
                    <c:v>2.9000000000000001E-2</c:v>
                  </c:pt>
                  <c:pt idx="3">
                    <c:v>3.9000000000000014E-2</c:v>
                  </c:pt>
                  <c:pt idx="4">
                    <c:v>1.7999999999999999E-2</c:v>
                  </c:pt>
                </c:numCache>
              </c:numRef>
            </c:minus>
          </c:errBars>
          <c:cat>
            <c:strRef>
              <c:f>Sheet1!$A$5:$A$8</c:f>
              <c:strCache>
                <c:ptCount val="4"/>
                <c:pt idx="0">
                  <c:v>T0</c:v>
                </c:pt>
                <c:pt idx="1">
                  <c:v>T1</c:v>
                </c:pt>
                <c:pt idx="2">
                  <c:v>T2</c:v>
                </c:pt>
                <c:pt idx="3">
                  <c:v>T3</c:v>
                </c:pt>
              </c:strCache>
            </c:strRef>
          </c:cat>
          <c:val>
            <c:numRef>
              <c:f>Sheet1!$C$5:$C$8</c:f>
              <c:numCache>
                <c:formatCode>General</c:formatCode>
                <c:ptCount val="4"/>
                <c:pt idx="0">
                  <c:v>6.2700000000000014</c:v>
                </c:pt>
                <c:pt idx="1">
                  <c:v>5.75</c:v>
                </c:pt>
                <c:pt idx="2">
                  <c:v>5.28</c:v>
                </c:pt>
                <c:pt idx="3">
                  <c:v>4.9700000000000024</c:v>
                </c:pt>
              </c:numCache>
            </c:numRef>
          </c:val>
        </c:ser>
        <c:ser>
          <c:idx val="2"/>
          <c:order val="2"/>
          <c:tx>
            <c:strRef>
              <c:f>Sheet1!$D$4</c:f>
              <c:strCache>
                <c:ptCount val="1"/>
                <c:pt idx="0">
                  <c:v>3 (Promilk)</c:v>
                </c:pt>
              </c:strCache>
            </c:strRef>
          </c:tx>
          <c:spPr>
            <a:ln w="12700">
              <a:solidFill>
                <a:srgbClr val="92D050"/>
              </a:solidFill>
            </a:ln>
          </c:spPr>
          <c:marker>
            <c:spPr>
              <a:solidFill>
                <a:srgbClr val="92D050"/>
              </a:solidFill>
              <a:ln>
                <a:solidFill>
                  <a:srgbClr val="92D050"/>
                </a:solidFill>
              </a:ln>
            </c:spPr>
          </c:marker>
          <c:errBars>
            <c:errDir val="y"/>
            <c:errBarType val="both"/>
            <c:errValType val="cust"/>
            <c:plus>
              <c:numRef>
                <c:f>Sheet1!$I$7:$M$7</c:f>
                <c:numCache>
                  <c:formatCode>General</c:formatCode>
                  <c:ptCount val="5"/>
                  <c:pt idx="0">
                    <c:v>2.5999999999999999E-2</c:v>
                  </c:pt>
                  <c:pt idx="1">
                    <c:v>3.5999999999999997E-2</c:v>
                  </c:pt>
                  <c:pt idx="2">
                    <c:v>3.0000000000000002E-2</c:v>
                  </c:pt>
                  <c:pt idx="3">
                    <c:v>3.6999999999999998E-2</c:v>
                  </c:pt>
                  <c:pt idx="4">
                    <c:v>3.1000000000000052E-2</c:v>
                  </c:pt>
                </c:numCache>
              </c:numRef>
            </c:plus>
            <c:minus>
              <c:numRef>
                <c:f>Sheet1!$I$7:$M$7</c:f>
                <c:numCache>
                  <c:formatCode>General</c:formatCode>
                  <c:ptCount val="5"/>
                  <c:pt idx="0">
                    <c:v>2.5999999999999999E-2</c:v>
                  </c:pt>
                  <c:pt idx="1">
                    <c:v>3.5999999999999997E-2</c:v>
                  </c:pt>
                  <c:pt idx="2">
                    <c:v>3.0000000000000002E-2</c:v>
                  </c:pt>
                  <c:pt idx="3">
                    <c:v>3.6999999999999998E-2</c:v>
                  </c:pt>
                  <c:pt idx="4">
                    <c:v>3.1000000000000052E-2</c:v>
                  </c:pt>
                </c:numCache>
              </c:numRef>
            </c:minus>
          </c:errBars>
          <c:cat>
            <c:strRef>
              <c:f>Sheet1!$A$5:$A$8</c:f>
              <c:strCache>
                <c:ptCount val="4"/>
                <c:pt idx="0">
                  <c:v>T0</c:v>
                </c:pt>
                <c:pt idx="1">
                  <c:v>T1</c:v>
                </c:pt>
                <c:pt idx="2">
                  <c:v>T2</c:v>
                </c:pt>
                <c:pt idx="3">
                  <c:v>T3</c:v>
                </c:pt>
              </c:strCache>
            </c:strRef>
          </c:cat>
          <c:val>
            <c:numRef>
              <c:f>Sheet1!$D$5:$D$8</c:f>
              <c:numCache>
                <c:formatCode>General</c:formatCode>
                <c:ptCount val="4"/>
                <c:pt idx="0">
                  <c:v>6.64</c:v>
                </c:pt>
                <c:pt idx="1">
                  <c:v>5.88</c:v>
                </c:pt>
                <c:pt idx="2">
                  <c:v>5.26</c:v>
                </c:pt>
                <c:pt idx="3">
                  <c:v>4.96</c:v>
                </c:pt>
              </c:numCache>
            </c:numRef>
          </c:val>
        </c:ser>
        <c:ser>
          <c:idx val="3"/>
          <c:order val="3"/>
          <c:tx>
            <c:strRef>
              <c:f>Sheet1!$E$4</c:f>
              <c:strCache>
                <c:ptCount val="1"/>
                <c:pt idx="0">
                  <c:v>4 (H. Caseine)</c:v>
                </c:pt>
              </c:strCache>
            </c:strRef>
          </c:tx>
          <c:spPr>
            <a:ln w="12700">
              <a:solidFill>
                <a:srgbClr val="990099"/>
              </a:solidFill>
            </a:ln>
          </c:spPr>
          <c:marker>
            <c:spPr>
              <a:solidFill>
                <a:srgbClr val="990099"/>
              </a:solidFill>
              <a:ln>
                <a:solidFill>
                  <a:srgbClr val="990099"/>
                </a:solidFill>
              </a:ln>
            </c:spPr>
          </c:marker>
          <c:errBars>
            <c:errDir val="y"/>
            <c:errBarType val="both"/>
            <c:errValType val="cust"/>
            <c:plus>
              <c:numRef>
                <c:f>Sheet1!$I$8:$M$8</c:f>
                <c:numCache>
                  <c:formatCode>General</c:formatCode>
                  <c:ptCount val="5"/>
                  <c:pt idx="0">
                    <c:v>3.1000000000000052E-2</c:v>
                  </c:pt>
                  <c:pt idx="1">
                    <c:v>3.2000000000000042E-2</c:v>
                  </c:pt>
                  <c:pt idx="2">
                    <c:v>4.8000000000000001E-2</c:v>
                  </c:pt>
                  <c:pt idx="3">
                    <c:v>4.5999999999999999E-2</c:v>
                  </c:pt>
                  <c:pt idx="4">
                    <c:v>3.3000000000000002E-2</c:v>
                  </c:pt>
                </c:numCache>
              </c:numRef>
            </c:plus>
            <c:minus>
              <c:numRef>
                <c:f>Sheet1!$I$8:$M$8</c:f>
                <c:numCache>
                  <c:formatCode>General</c:formatCode>
                  <c:ptCount val="5"/>
                  <c:pt idx="0">
                    <c:v>3.1000000000000052E-2</c:v>
                  </c:pt>
                  <c:pt idx="1">
                    <c:v>3.2000000000000042E-2</c:v>
                  </c:pt>
                  <c:pt idx="2">
                    <c:v>4.8000000000000001E-2</c:v>
                  </c:pt>
                  <c:pt idx="3">
                    <c:v>4.5999999999999999E-2</c:v>
                  </c:pt>
                  <c:pt idx="4">
                    <c:v>3.3000000000000002E-2</c:v>
                  </c:pt>
                </c:numCache>
              </c:numRef>
            </c:minus>
          </c:errBars>
          <c:cat>
            <c:strRef>
              <c:f>Sheet1!$A$5:$A$8</c:f>
              <c:strCache>
                <c:ptCount val="4"/>
                <c:pt idx="0">
                  <c:v>T0</c:v>
                </c:pt>
                <c:pt idx="1">
                  <c:v>T1</c:v>
                </c:pt>
                <c:pt idx="2">
                  <c:v>T2</c:v>
                </c:pt>
                <c:pt idx="3">
                  <c:v>T3</c:v>
                </c:pt>
              </c:strCache>
            </c:strRef>
          </c:cat>
          <c:val>
            <c:numRef>
              <c:f>Sheet1!$E$5:$E$8</c:f>
              <c:numCache>
                <c:formatCode>General</c:formatCode>
                <c:ptCount val="4"/>
                <c:pt idx="0">
                  <c:v>6.6099999999999985</c:v>
                </c:pt>
                <c:pt idx="1">
                  <c:v>5.98</c:v>
                </c:pt>
                <c:pt idx="2">
                  <c:v>5.35</c:v>
                </c:pt>
                <c:pt idx="3">
                  <c:v>4.9700000000000024</c:v>
                </c:pt>
              </c:numCache>
            </c:numRef>
          </c:val>
        </c:ser>
        <c:ser>
          <c:idx val="4"/>
          <c:order val="4"/>
          <c:tx>
            <c:strRef>
              <c:f>Sheet1!$F$4</c:f>
              <c:strCache>
                <c:ptCount val="1"/>
                <c:pt idx="0">
                  <c:v>5 (H. Proteine)</c:v>
                </c:pt>
              </c:strCache>
            </c:strRef>
          </c:tx>
          <c:spPr>
            <a:ln w="12700">
              <a:solidFill>
                <a:srgbClr val="FF33CC"/>
              </a:solidFill>
            </a:ln>
          </c:spPr>
          <c:marker>
            <c:symbol val="circle"/>
            <c:size val="4"/>
            <c:spPr>
              <a:solidFill>
                <a:srgbClr val="FF33CC"/>
              </a:solidFill>
              <a:ln>
                <a:solidFill>
                  <a:srgbClr val="FF33CC"/>
                </a:solidFill>
              </a:ln>
            </c:spPr>
          </c:marker>
          <c:cat>
            <c:strRef>
              <c:f>Sheet1!$A$5:$A$8</c:f>
              <c:strCache>
                <c:ptCount val="4"/>
                <c:pt idx="0">
                  <c:v>T0</c:v>
                </c:pt>
                <c:pt idx="1">
                  <c:v>T1</c:v>
                </c:pt>
                <c:pt idx="2">
                  <c:v>T2</c:v>
                </c:pt>
                <c:pt idx="3">
                  <c:v>T3</c:v>
                </c:pt>
              </c:strCache>
            </c:strRef>
          </c:cat>
          <c:val>
            <c:numRef>
              <c:f>Sheet1!$F$5:$F$8</c:f>
              <c:numCache>
                <c:formatCode>General</c:formatCode>
                <c:ptCount val="4"/>
                <c:pt idx="0">
                  <c:v>6.58</c:v>
                </c:pt>
                <c:pt idx="1">
                  <c:v>5.95</c:v>
                </c:pt>
                <c:pt idx="2">
                  <c:v>5.3599999999999985</c:v>
                </c:pt>
                <c:pt idx="3">
                  <c:v>4.9400000000000004</c:v>
                </c:pt>
              </c:numCache>
            </c:numRef>
          </c:val>
        </c:ser>
        <c:marker val="1"/>
        <c:axId val="59027840"/>
        <c:axId val="59030144"/>
      </c:lineChart>
      <c:catAx>
        <c:axId val="59027840"/>
        <c:scaling>
          <c:orientation val="minMax"/>
        </c:scaling>
        <c:axPos val="b"/>
        <c:title>
          <c:tx>
            <c:rich>
              <a:bodyPr/>
              <a:lstStyle/>
              <a:p>
                <a:pPr>
                  <a:defRPr b="1"/>
                </a:pPr>
                <a:r>
                  <a:rPr lang="en-US" b="1"/>
                  <a:t>Temps (h)</a:t>
                </a:r>
              </a:p>
            </c:rich>
          </c:tx>
          <c:layout>
            <c:manualLayout>
              <c:xMode val="edge"/>
              <c:yMode val="edge"/>
              <c:x val="0.40192434769183288"/>
              <c:y val="0.91505553072241508"/>
            </c:manualLayout>
          </c:layout>
        </c:title>
        <c:numFmt formatCode="General" sourceLinked="1"/>
        <c:tickLblPos val="nextTo"/>
        <c:spPr>
          <a:ln w="9525">
            <a:solidFill>
              <a:schemeClr val="tx1"/>
            </a:solidFill>
          </a:ln>
        </c:spPr>
        <c:txPr>
          <a:bodyPr rot="0" vert="horz"/>
          <a:lstStyle/>
          <a:p>
            <a:pPr>
              <a:defRPr b="1" i="0" baseline="0"/>
            </a:pPr>
            <a:endParaRPr lang="fr-FR"/>
          </a:p>
        </c:txPr>
        <c:crossAx val="59030144"/>
        <c:crosses val="autoZero"/>
        <c:auto val="1"/>
        <c:lblAlgn val="ctr"/>
        <c:lblOffset val="100"/>
      </c:catAx>
      <c:valAx>
        <c:axId val="59030144"/>
        <c:scaling>
          <c:orientation val="minMax"/>
          <c:max val="7"/>
          <c:min val="4.5"/>
        </c:scaling>
        <c:axPos val="l"/>
        <c:title>
          <c:tx>
            <c:rich>
              <a:bodyPr rot="-5400000" vert="horz"/>
              <a:lstStyle/>
              <a:p>
                <a:pPr>
                  <a:defRPr/>
                </a:pPr>
                <a:r>
                  <a:rPr lang="en-US" b="1"/>
                  <a:t>pH</a:t>
                </a:r>
              </a:p>
            </c:rich>
          </c:tx>
          <c:layout/>
        </c:title>
        <c:numFmt formatCode="General" sourceLinked="1"/>
        <c:tickLblPos val="nextTo"/>
        <c:spPr>
          <a:ln w="9525">
            <a:solidFill>
              <a:schemeClr val="tx1"/>
            </a:solidFill>
          </a:ln>
        </c:spPr>
        <c:txPr>
          <a:bodyPr rot="0" vert="horz"/>
          <a:lstStyle/>
          <a:p>
            <a:pPr>
              <a:defRPr b="1" i="0" baseline="0"/>
            </a:pPr>
            <a:endParaRPr lang="fr-FR"/>
          </a:p>
        </c:txPr>
        <c:crossAx val="59027840"/>
        <c:crosses val="autoZero"/>
        <c:crossBetween val="midCat"/>
        <c:majorUnit val="0.5"/>
      </c:valAx>
    </c:plotArea>
    <c:plotVisOnly val="1"/>
    <c:dispBlanksAs val="gap"/>
  </c:chart>
  <c:spPr>
    <a:ln>
      <a:solidFill>
        <a:schemeClr val="bg1"/>
      </a:solidFill>
    </a:ln>
  </c:spPr>
  <c:txPr>
    <a:bodyPr/>
    <a:lstStyle/>
    <a:p>
      <a:pPr>
        <a:defRPr sz="1000" b="0" i="0" u="none" strike="noStrike" baseline="0">
          <a:solidFill>
            <a:srgbClr val="000000"/>
          </a:solidFill>
          <a:latin typeface="Times New Roman" pitchFamily="18" charset="0"/>
          <a:ea typeface="Calibri"/>
          <a:cs typeface="Times New Roman" pitchFamily="18" charset="0"/>
        </a:defRPr>
      </a:pPr>
      <a:endParaRPr lang="fr-FR"/>
    </a:p>
  </c:txPr>
  <c:externalData r:id="rId1"/>
  <c:userShapes r:id="rId2"/>
</c:chartSpace>
</file>

<file path=word/charts/chart12.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a:pPr>
            <a:r>
              <a:rPr lang="fr-FR"/>
              <a:t>E</a:t>
            </a:r>
          </a:p>
        </c:rich>
      </c:tx>
      <c:layout>
        <c:manualLayout>
          <c:xMode val="edge"/>
          <c:yMode val="edge"/>
          <c:x val="2.7417057658667286E-2"/>
          <c:y val="0"/>
        </c:manualLayout>
      </c:layout>
      <c:spPr>
        <a:solidFill>
          <a:schemeClr val="bg1">
            <a:lumMod val="85000"/>
          </a:schemeClr>
        </a:solidFill>
        <a:scene3d>
          <a:camera prst="orthographicFront"/>
          <a:lightRig rig="threePt" dir="t"/>
        </a:scene3d>
        <a:sp3d>
          <a:bevelT w="190500" h="38100"/>
        </a:sp3d>
      </c:spPr>
    </c:title>
    <c:plotArea>
      <c:layout>
        <c:manualLayout>
          <c:layoutTarget val="inner"/>
          <c:xMode val="edge"/>
          <c:yMode val="edge"/>
          <c:x val="0.20770595690747887"/>
          <c:y val="0.14746543778801988"/>
          <c:w val="0.7280085711719495"/>
          <c:h val="0.63766513056836094"/>
        </c:manualLayout>
      </c:layout>
      <c:lineChart>
        <c:grouping val="standard"/>
        <c:ser>
          <c:idx val="0"/>
          <c:order val="0"/>
          <c:tx>
            <c:strRef>
              <c:f>Sheet1!$B$4</c:f>
              <c:strCache>
                <c:ptCount val="1"/>
                <c:pt idx="0">
                  <c:v>1 (Temoin)</c:v>
                </c:pt>
              </c:strCache>
            </c:strRef>
          </c:tx>
          <c:spPr>
            <a:ln w="12700"/>
          </c:spPr>
          <c:errBars>
            <c:errDir val="y"/>
            <c:errBarType val="both"/>
            <c:errValType val="cust"/>
            <c:plus>
              <c:numRef>
                <c:f>Sheet1!$I$5:$M$5</c:f>
                <c:numCache>
                  <c:formatCode>General</c:formatCode>
                  <c:ptCount val="5"/>
                  <c:pt idx="0">
                    <c:v>1.7999999999999999E-2</c:v>
                  </c:pt>
                  <c:pt idx="1">
                    <c:v>2.1999999999999999E-2</c:v>
                  </c:pt>
                  <c:pt idx="2">
                    <c:v>4.0000000000000022E-2</c:v>
                  </c:pt>
                  <c:pt idx="3">
                    <c:v>2.8000000000000001E-2</c:v>
                  </c:pt>
                  <c:pt idx="4">
                    <c:v>3.7999999999999999E-2</c:v>
                  </c:pt>
                </c:numCache>
              </c:numRef>
            </c:plus>
            <c:minus>
              <c:numRef>
                <c:f>Sheet1!$I$5:$M$5</c:f>
                <c:numCache>
                  <c:formatCode>General</c:formatCode>
                  <c:ptCount val="5"/>
                  <c:pt idx="0">
                    <c:v>1.7999999999999999E-2</c:v>
                  </c:pt>
                  <c:pt idx="1">
                    <c:v>2.1999999999999999E-2</c:v>
                  </c:pt>
                  <c:pt idx="2">
                    <c:v>4.0000000000000022E-2</c:v>
                  </c:pt>
                  <c:pt idx="3">
                    <c:v>2.8000000000000001E-2</c:v>
                  </c:pt>
                  <c:pt idx="4">
                    <c:v>3.7999999999999999E-2</c:v>
                  </c:pt>
                </c:numCache>
              </c:numRef>
            </c:minus>
          </c:errBars>
          <c:cat>
            <c:strRef>
              <c:f>Sheet1!$A$5:$A$8</c:f>
              <c:strCache>
                <c:ptCount val="4"/>
                <c:pt idx="0">
                  <c:v>T0</c:v>
                </c:pt>
                <c:pt idx="1">
                  <c:v>T1</c:v>
                </c:pt>
                <c:pt idx="2">
                  <c:v>T2</c:v>
                </c:pt>
                <c:pt idx="3">
                  <c:v>T3</c:v>
                </c:pt>
              </c:strCache>
            </c:strRef>
          </c:cat>
          <c:val>
            <c:numRef>
              <c:f>Sheet1!$B$5:$B$8</c:f>
              <c:numCache>
                <c:formatCode>General</c:formatCode>
                <c:ptCount val="4"/>
                <c:pt idx="0">
                  <c:v>6.6</c:v>
                </c:pt>
                <c:pt idx="1">
                  <c:v>6.3</c:v>
                </c:pt>
                <c:pt idx="2">
                  <c:v>5.72</c:v>
                </c:pt>
                <c:pt idx="3">
                  <c:v>5</c:v>
                </c:pt>
              </c:numCache>
            </c:numRef>
          </c:val>
        </c:ser>
        <c:ser>
          <c:idx val="1"/>
          <c:order val="1"/>
          <c:tx>
            <c:strRef>
              <c:f>Sheet1!$C$4</c:f>
              <c:strCache>
                <c:ptCount val="1"/>
                <c:pt idx="0">
                  <c:v>2 (Lactoserum)</c:v>
                </c:pt>
              </c:strCache>
            </c:strRef>
          </c:tx>
          <c:spPr>
            <a:ln w="12700">
              <a:solidFill>
                <a:srgbClr val="FF9900"/>
              </a:solidFill>
            </a:ln>
          </c:spPr>
          <c:marker>
            <c:symbol val="square"/>
            <c:size val="4"/>
            <c:spPr>
              <a:solidFill>
                <a:srgbClr val="FF9900"/>
              </a:solidFill>
              <a:ln>
                <a:solidFill>
                  <a:srgbClr val="FF9900"/>
                </a:solidFill>
              </a:ln>
            </c:spPr>
          </c:marker>
          <c:errBars>
            <c:errDir val="y"/>
            <c:errBarType val="both"/>
            <c:errValType val="cust"/>
            <c:plus>
              <c:numRef>
                <c:f>Sheet1!$I$7:$M$7</c:f>
                <c:numCache>
                  <c:formatCode>General</c:formatCode>
                  <c:ptCount val="5"/>
                  <c:pt idx="0">
                    <c:v>2.4E-2</c:v>
                  </c:pt>
                  <c:pt idx="1">
                    <c:v>0.05</c:v>
                  </c:pt>
                  <c:pt idx="2">
                    <c:v>4.1000000000000002E-2</c:v>
                  </c:pt>
                  <c:pt idx="3">
                    <c:v>4.8000000000000001E-2</c:v>
                  </c:pt>
                  <c:pt idx="4">
                    <c:v>3.3000000000000002E-2</c:v>
                  </c:pt>
                </c:numCache>
              </c:numRef>
            </c:plus>
            <c:minus>
              <c:numRef>
                <c:f>Sheet1!$I$7:$M$7</c:f>
                <c:numCache>
                  <c:formatCode>General</c:formatCode>
                  <c:ptCount val="5"/>
                  <c:pt idx="0">
                    <c:v>2.4E-2</c:v>
                  </c:pt>
                  <c:pt idx="1">
                    <c:v>0.05</c:v>
                  </c:pt>
                  <c:pt idx="2">
                    <c:v>4.1000000000000002E-2</c:v>
                  </c:pt>
                  <c:pt idx="3">
                    <c:v>4.8000000000000001E-2</c:v>
                  </c:pt>
                  <c:pt idx="4">
                    <c:v>3.3000000000000002E-2</c:v>
                  </c:pt>
                </c:numCache>
              </c:numRef>
            </c:minus>
          </c:errBars>
          <c:cat>
            <c:strRef>
              <c:f>Sheet1!$A$5:$A$8</c:f>
              <c:strCache>
                <c:ptCount val="4"/>
                <c:pt idx="0">
                  <c:v>T0</c:v>
                </c:pt>
                <c:pt idx="1">
                  <c:v>T1</c:v>
                </c:pt>
                <c:pt idx="2">
                  <c:v>T2</c:v>
                </c:pt>
                <c:pt idx="3">
                  <c:v>T3</c:v>
                </c:pt>
              </c:strCache>
            </c:strRef>
          </c:cat>
          <c:val>
            <c:numRef>
              <c:f>Sheet1!$C$5:$C$8</c:f>
              <c:numCache>
                <c:formatCode>General</c:formatCode>
                <c:ptCount val="4"/>
                <c:pt idx="0">
                  <c:v>6.2700000000000014</c:v>
                </c:pt>
                <c:pt idx="1">
                  <c:v>5.76</c:v>
                </c:pt>
                <c:pt idx="2">
                  <c:v>5.29</c:v>
                </c:pt>
                <c:pt idx="3">
                  <c:v>4.9700000000000024</c:v>
                </c:pt>
              </c:numCache>
            </c:numRef>
          </c:val>
        </c:ser>
        <c:ser>
          <c:idx val="2"/>
          <c:order val="2"/>
          <c:tx>
            <c:strRef>
              <c:f>Sheet1!$D$4</c:f>
              <c:strCache>
                <c:ptCount val="1"/>
                <c:pt idx="0">
                  <c:v>3 (Promilk)</c:v>
                </c:pt>
              </c:strCache>
            </c:strRef>
          </c:tx>
          <c:spPr>
            <a:ln w="12700"/>
          </c:spPr>
          <c:errBars>
            <c:errDir val="y"/>
            <c:errBarType val="both"/>
            <c:errValType val="cust"/>
            <c:plus>
              <c:numRef>
                <c:f>Sheet1!$I$6:$M$6</c:f>
                <c:numCache>
                  <c:formatCode>General</c:formatCode>
                  <c:ptCount val="5"/>
                  <c:pt idx="0">
                    <c:v>2.5999999999999999E-2</c:v>
                  </c:pt>
                  <c:pt idx="1">
                    <c:v>3.500000000000001E-2</c:v>
                  </c:pt>
                  <c:pt idx="2">
                    <c:v>2.5999999999999999E-2</c:v>
                  </c:pt>
                  <c:pt idx="3">
                    <c:v>2.5000000000000001E-2</c:v>
                  </c:pt>
                  <c:pt idx="4">
                    <c:v>4.5999999999999999E-2</c:v>
                  </c:pt>
                </c:numCache>
              </c:numRef>
            </c:plus>
            <c:minus>
              <c:numRef>
                <c:f>Sheet1!$I$6:$M$6</c:f>
                <c:numCache>
                  <c:formatCode>General</c:formatCode>
                  <c:ptCount val="5"/>
                  <c:pt idx="0">
                    <c:v>2.5999999999999999E-2</c:v>
                  </c:pt>
                  <c:pt idx="1">
                    <c:v>3.500000000000001E-2</c:v>
                  </c:pt>
                  <c:pt idx="2">
                    <c:v>2.5999999999999999E-2</c:v>
                  </c:pt>
                  <c:pt idx="3">
                    <c:v>2.5000000000000001E-2</c:v>
                  </c:pt>
                  <c:pt idx="4">
                    <c:v>4.5999999999999999E-2</c:v>
                  </c:pt>
                </c:numCache>
              </c:numRef>
            </c:minus>
          </c:errBars>
          <c:cat>
            <c:strRef>
              <c:f>Sheet1!$A$5:$A$8</c:f>
              <c:strCache>
                <c:ptCount val="4"/>
                <c:pt idx="0">
                  <c:v>T0</c:v>
                </c:pt>
                <c:pt idx="1">
                  <c:v>T1</c:v>
                </c:pt>
                <c:pt idx="2">
                  <c:v>T2</c:v>
                </c:pt>
                <c:pt idx="3">
                  <c:v>T3</c:v>
                </c:pt>
              </c:strCache>
            </c:strRef>
          </c:cat>
          <c:val>
            <c:numRef>
              <c:f>Sheet1!$D$5:$D$8</c:f>
              <c:numCache>
                <c:formatCode>General</c:formatCode>
                <c:ptCount val="4"/>
                <c:pt idx="0">
                  <c:v>6.59</c:v>
                </c:pt>
                <c:pt idx="1">
                  <c:v>6.21</c:v>
                </c:pt>
                <c:pt idx="2">
                  <c:v>5.58</c:v>
                </c:pt>
                <c:pt idx="3">
                  <c:v>4.99</c:v>
                </c:pt>
              </c:numCache>
            </c:numRef>
          </c:val>
        </c:ser>
        <c:ser>
          <c:idx val="3"/>
          <c:order val="3"/>
          <c:tx>
            <c:strRef>
              <c:f>Sheet1!$E$4</c:f>
              <c:strCache>
                <c:ptCount val="1"/>
                <c:pt idx="0">
                  <c:v>4 (H. Caseine)</c:v>
                </c:pt>
              </c:strCache>
            </c:strRef>
          </c:tx>
          <c:spPr>
            <a:ln w="12700">
              <a:solidFill>
                <a:srgbClr val="990099"/>
              </a:solidFill>
            </a:ln>
          </c:spPr>
          <c:marker>
            <c:spPr>
              <a:solidFill>
                <a:srgbClr val="990099"/>
              </a:solidFill>
              <a:ln>
                <a:solidFill>
                  <a:srgbClr val="990099"/>
                </a:solidFill>
              </a:ln>
            </c:spPr>
          </c:marker>
          <c:errBars>
            <c:errDir val="y"/>
            <c:errBarType val="both"/>
            <c:errValType val="cust"/>
            <c:plus>
              <c:numRef>
                <c:f>Sheet1!$I$8:$M$8</c:f>
                <c:numCache>
                  <c:formatCode>General</c:formatCode>
                  <c:ptCount val="5"/>
                  <c:pt idx="0">
                    <c:v>3.0000000000000002E-2</c:v>
                  </c:pt>
                  <c:pt idx="1">
                    <c:v>3.9000000000000014E-2</c:v>
                  </c:pt>
                  <c:pt idx="2">
                    <c:v>3.3000000000000002E-2</c:v>
                  </c:pt>
                  <c:pt idx="3">
                    <c:v>3.3000000000000002E-2</c:v>
                  </c:pt>
                  <c:pt idx="4">
                    <c:v>3.4000000000000002E-2</c:v>
                  </c:pt>
                </c:numCache>
              </c:numRef>
            </c:plus>
            <c:minus>
              <c:numRef>
                <c:f>Sheet1!$I$8:$M$8</c:f>
                <c:numCache>
                  <c:formatCode>General</c:formatCode>
                  <c:ptCount val="5"/>
                  <c:pt idx="0">
                    <c:v>3.0000000000000002E-2</c:v>
                  </c:pt>
                  <c:pt idx="1">
                    <c:v>3.9000000000000014E-2</c:v>
                  </c:pt>
                  <c:pt idx="2">
                    <c:v>3.3000000000000002E-2</c:v>
                  </c:pt>
                  <c:pt idx="3">
                    <c:v>3.3000000000000002E-2</c:v>
                  </c:pt>
                  <c:pt idx="4">
                    <c:v>3.4000000000000002E-2</c:v>
                  </c:pt>
                </c:numCache>
              </c:numRef>
            </c:minus>
          </c:errBars>
          <c:cat>
            <c:strRef>
              <c:f>Sheet1!$A$5:$A$8</c:f>
              <c:strCache>
                <c:ptCount val="4"/>
                <c:pt idx="0">
                  <c:v>T0</c:v>
                </c:pt>
                <c:pt idx="1">
                  <c:v>T1</c:v>
                </c:pt>
                <c:pt idx="2">
                  <c:v>T2</c:v>
                </c:pt>
                <c:pt idx="3">
                  <c:v>T3</c:v>
                </c:pt>
              </c:strCache>
            </c:strRef>
          </c:cat>
          <c:val>
            <c:numRef>
              <c:f>Sheet1!$E$5:$E$8</c:f>
              <c:numCache>
                <c:formatCode>General</c:formatCode>
                <c:ptCount val="4"/>
                <c:pt idx="0">
                  <c:v>6.6099999999999985</c:v>
                </c:pt>
                <c:pt idx="1">
                  <c:v>6.18</c:v>
                </c:pt>
                <c:pt idx="2">
                  <c:v>5.58</c:v>
                </c:pt>
                <c:pt idx="3">
                  <c:v>4.9800000000000004</c:v>
                </c:pt>
              </c:numCache>
            </c:numRef>
          </c:val>
        </c:ser>
        <c:ser>
          <c:idx val="4"/>
          <c:order val="4"/>
          <c:tx>
            <c:strRef>
              <c:f>Sheet1!$F$4</c:f>
              <c:strCache>
                <c:ptCount val="1"/>
                <c:pt idx="0">
                  <c:v>5 (H. Proteine)</c:v>
                </c:pt>
              </c:strCache>
            </c:strRef>
          </c:tx>
          <c:spPr>
            <a:ln w="12700">
              <a:solidFill>
                <a:srgbClr val="FF33CC"/>
              </a:solidFill>
            </a:ln>
          </c:spPr>
          <c:marker>
            <c:symbol val="circle"/>
            <c:size val="4"/>
            <c:spPr>
              <a:solidFill>
                <a:srgbClr val="FF33CC"/>
              </a:solidFill>
              <a:ln>
                <a:solidFill>
                  <a:srgbClr val="FF33CC"/>
                </a:solidFill>
              </a:ln>
            </c:spPr>
          </c:marker>
          <c:errBars>
            <c:errDir val="y"/>
            <c:errBarType val="both"/>
            <c:errValType val="cust"/>
            <c:plus>
              <c:numRef>
                <c:f>Sheet2!$M$3:$M$6</c:f>
                <c:numCache>
                  <c:formatCode>General</c:formatCode>
                  <c:ptCount val="4"/>
                  <c:pt idx="0">
                    <c:v>3.7999999999999999E-2</c:v>
                  </c:pt>
                  <c:pt idx="1">
                    <c:v>4.5999999999999999E-2</c:v>
                  </c:pt>
                  <c:pt idx="2">
                    <c:v>3.3000000000000002E-2</c:v>
                  </c:pt>
                  <c:pt idx="3">
                    <c:v>3.4000000000000002E-2</c:v>
                  </c:pt>
                </c:numCache>
              </c:numRef>
            </c:plus>
            <c:minus>
              <c:numRef>
                <c:f>Sheet2!$M$3:$M$6</c:f>
                <c:numCache>
                  <c:formatCode>General</c:formatCode>
                  <c:ptCount val="4"/>
                  <c:pt idx="0">
                    <c:v>3.7999999999999999E-2</c:v>
                  </c:pt>
                  <c:pt idx="1">
                    <c:v>4.5999999999999999E-2</c:v>
                  </c:pt>
                  <c:pt idx="2">
                    <c:v>3.3000000000000002E-2</c:v>
                  </c:pt>
                  <c:pt idx="3">
                    <c:v>3.4000000000000002E-2</c:v>
                  </c:pt>
                </c:numCache>
              </c:numRef>
            </c:minus>
            <c:spPr>
              <a:ln w="3175">
                <a:solidFill>
                  <a:srgbClr val="000000"/>
                </a:solidFill>
                <a:prstDash val="solid"/>
              </a:ln>
            </c:spPr>
          </c:errBars>
          <c:cat>
            <c:strRef>
              <c:f>Sheet1!$A$5:$A$8</c:f>
              <c:strCache>
                <c:ptCount val="4"/>
                <c:pt idx="0">
                  <c:v>T0</c:v>
                </c:pt>
                <c:pt idx="1">
                  <c:v>T1</c:v>
                </c:pt>
                <c:pt idx="2">
                  <c:v>T2</c:v>
                </c:pt>
                <c:pt idx="3">
                  <c:v>T3</c:v>
                </c:pt>
              </c:strCache>
            </c:strRef>
          </c:cat>
          <c:val>
            <c:numRef>
              <c:f>Sheet1!$F$5:$F$8</c:f>
              <c:numCache>
                <c:formatCode>General</c:formatCode>
                <c:ptCount val="4"/>
                <c:pt idx="0">
                  <c:v>6.56</c:v>
                </c:pt>
                <c:pt idx="1">
                  <c:v>5.94</c:v>
                </c:pt>
                <c:pt idx="2">
                  <c:v>5.42</c:v>
                </c:pt>
                <c:pt idx="3">
                  <c:v>4.9800000000000004</c:v>
                </c:pt>
              </c:numCache>
            </c:numRef>
          </c:val>
        </c:ser>
        <c:marker val="1"/>
        <c:axId val="59514240"/>
        <c:axId val="59524608"/>
      </c:lineChart>
      <c:catAx>
        <c:axId val="59514240"/>
        <c:scaling>
          <c:orientation val="minMax"/>
        </c:scaling>
        <c:axPos val="b"/>
        <c:title>
          <c:tx>
            <c:rich>
              <a:bodyPr/>
              <a:lstStyle/>
              <a:p>
                <a:pPr>
                  <a:defRPr/>
                </a:pPr>
                <a:r>
                  <a:rPr lang="en-US"/>
                  <a:t>Temps (h)</a:t>
                </a:r>
              </a:p>
            </c:rich>
          </c:tx>
          <c:layout>
            <c:manualLayout>
              <c:xMode val="edge"/>
              <c:yMode val="edge"/>
              <c:x val="0.39021546261090184"/>
              <c:y val="0.91090648603422397"/>
            </c:manualLayout>
          </c:layout>
        </c:title>
        <c:numFmt formatCode="General" sourceLinked="1"/>
        <c:tickLblPos val="nextTo"/>
        <c:spPr>
          <a:ln w="9525">
            <a:solidFill>
              <a:schemeClr val="tx1"/>
            </a:solidFill>
          </a:ln>
        </c:spPr>
        <c:crossAx val="59524608"/>
        <c:crosses val="autoZero"/>
        <c:auto val="1"/>
        <c:lblAlgn val="ctr"/>
        <c:lblOffset val="100"/>
      </c:catAx>
      <c:valAx>
        <c:axId val="59524608"/>
        <c:scaling>
          <c:orientation val="minMax"/>
          <c:max val="7"/>
          <c:min val="4.5"/>
        </c:scaling>
        <c:axPos val="l"/>
        <c:title>
          <c:tx>
            <c:rich>
              <a:bodyPr rot="-5400000" vert="horz"/>
              <a:lstStyle/>
              <a:p>
                <a:pPr>
                  <a:defRPr/>
                </a:pPr>
                <a:r>
                  <a:rPr lang="en-US"/>
                  <a:t>pH</a:t>
                </a:r>
              </a:p>
            </c:rich>
          </c:tx>
          <c:layout/>
        </c:title>
        <c:numFmt formatCode="General" sourceLinked="1"/>
        <c:tickLblPos val="nextTo"/>
        <c:spPr>
          <a:ln w="9525">
            <a:solidFill>
              <a:schemeClr val="tx1"/>
            </a:solidFill>
          </a:ln>
        </c:spPr>
        <c:crossAx val="59514240"/>
        <c:crosses val="autoZero"/>
        <c:crossBetween val="midCat"/>
        <c:majorUnit val="0.5"/>
      </c:valAx>
    </c:plotArea>
    <c:plotVisOnly val="1"/>
    <c:dispBlanksAs val="gap"/>
  </c:chart>
  <c:spPr>
    <a:ln>
      <a:solidFill>
        <a:schemeClr val="bg1"/>
      </a:solidFill>
    </a:ln>
  </c:spPr>
  <c:txPr>
    <a:bodyPr/>
    <a:lstStyle/>
    <a:p>
      <a:pPr>
        <a:defRPr b="1">
          <a:latin typeface="Times New Roman" pitchFamily="18" charset="0"/>
          <a:cs typeface="Times New Roman" pitchFamily="18" charset="0"/>
        </a:defRPr>
      </a:pPr>
      <a:endParaRPr lang="fr-FR"/>
    </a:p>
  </c:txPr>
  <c:externalData r:id="rId1"/>
  <c:userShapes r:id="rId2"/>
</c:chartSpace>
</file>

<file path=word/charts/chart13.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a:pPr>
            <a:r>
              <a:rPr lang="fr-FR"/>
              <a:t>C</a:t>
            </a:r>
          </a:p>
        </c:rich>
      </c:tx>
      <c:layout>
        <c:manualLayout>
          <c:xMode val="edge"/>
          <c:yMode val="edge"/>
          <c:x val="3.5971223021582822E-3"/>
          <c:y val="0"/>
        </c:manualLayout>
      </c:layout>
      <c:spPr>
        <a:solidFill>
          <a:schemeClr val="bg1">
            <a:lumMod val="85000"/>
          </a:schemeClr>
        </a:solidFill>
        <a:effectLst/>
        <a:scene3d>
          <a:camera prst="orthographicFront"/>
          <a:lightRig rig="threePt" dir="t"/>
        </a:scene3d>
        <a:sp3d>
          <a:bevelT w="190500" h="38100"/>
        </a:sp3d>
      </c:spPr>
    </c:title>
    <c:plotArea>
      <c:layout>
        <c:manualLayout>
          <c:layoutTarget val="inner"/>
          <c:xMode val="edge"/>
          <c:yMode val="edge"/>
          <c:x val="0.2107150814781254"/>
          <c:y val="8.2941070722324081E-2"/>
          <c:w val="0.70418356796309567"/>
          <c:h val="0.70458754299548176"/>
        </c:manualLayout>
      </c:layout>
      <c:lineChart>
        <c:grouping val="standard"/>
        <c:ser>
          <c:idx val="0"/>
          <c:order val="0"/>
          <c:tx>
            <c:strRef>
              <c:f>Sheet1!$B$4</c:f>
              <c:strCache>
                <c:ptCount val="1"/>
                <c:pt idx="0">
                  <c:v>1 (Temoin)</c:v>
                </c:pt>
              </c:strCache>
            </c:strRef>
          </c:tx>
          <c:spPr>
            <a:ln w="12700"/>
          </c:spPr>
          <c:errBars>
            <c:errDir val="y"/>
            <c:errBarType val="both"/>
            <c:errValType val="cust"/>
            <c:plus>
              <c:numRef>
                <c:f>Sheet2!$I$3:$I$6</c:f>
                <c:numCache>
                  <c:formatCode>General</c:formatCode>
                  <c:ptCount val="4"/>
                  <c:pt idx="0">
                    <c:v>3.7000000000000137E-2</c:v>
                  </c:pt>
                  <c:pt idx="1">
                    <c:v>2.6000000000000075E-2</c:v>
                  </c:pt>
                  <c:pt idx="2">
                    <c:v>3.7000000000000137E-2</c:v>
                  </c:pt>
                  <c:pt idx="3">
                    <c:v>3.8000000000000041E-2</c:v>
                  </c:pt>
                </c:numCache>
              </c:numRef>
            </c:plus>
            <c:minus>
              <c:numRef>
                <c:f>Sheet2!$I$3:$I$6</c:f>
                <c:numCache>
                  <c:formatCode>General</c:formatCode>
                  <c:ptCount val="4"/>
                  <c:pt idx="0">
                    <c:v>3.7000000000000137E-2</c:v>
                  </c:pt>
                  <c:pt idx="1">
                    <c:v>2.6000000000000075E-2</c:v>
                  </c:pt>
                  <c:pt idx="2">
                    <c:v>3.7000000000000137E-2</c:v>
                  </c:pt>
                  <c:pt idx="3">
                    <c:v>3.8000000000000041E-2</c:v>
                  </c:pt>
                </c:numCache>
              </c:numRef>
            </c:minus>
          </c:errBars>
          <c:cat>
            <c:strRef>
              <c:f>Sheet1!$A$5:$A$8</c:f>
              <c:strCache>
                <c:ptCount val="4"/>
                <c:pt idx="0">
                  <c:v>T0</c:v>
                </c:pt>
                <c:pt idx="1">
                  <c:v>T1</c:v>
                </c:pt>
                <c:pt idx="2">
                  <c:v>T2</c:v>
                </c:pt>
                <c:pt idx="3">
                  <c:v>T3</c:v>
                </c:pt>
              </c:strCache>
            </c:strRef>
          </c:cat>
          <c:val>
            <c:numRef>
              <c:f>Sheet1!$B$5:$B$8</c:f>
              <c:numCache>
                <c:formatCode>General</c:formatCode>
                <c:ptCount val="4"/>
                <c:pt idx="0">
                  <c:v>6.59</c:v>
                </c:pt>
                <c:pt idx="1">
                  <c:v>6.28</c:v>
                </c:pt>
                <c:pt idx="2">
                  <c:v>5.6</c:v>
                </c:pt>
                <c:pt idx="3">
                  <c:v>4.99</c:v>
                </c:pt>
              </c:numCache>
            </c:numRef>
          </c:val>
        </c:ser>
        <c:ser>
          <c:idx val="1"/>
          <c:order val="1"/>
          <c:tx>
            <c:strRef>
              <c:f>Sheet1!$C$4</c:f>
              <c:strCache>
                <c:ptCount val="1"/>
                <c:pt idx="0">
                  <c:v>2 (Lactoserum)</c:v>
                </c:pt>
              </c:strCache>
            </c:strRef>
          </c:tx>
          <c:spPr>
            <a:ln w="12700">
              <a:solidFill>
                <a:srgbClr val="FF9900"/>
              </a:solidFill>
            </a:ln>
          </c:spPr>
          <c:marker>
            <c:symbol val="square"/>
            <c:size val="4"/>
            <c:spPr>
              <a:solidFill>
                <a:srgbClr val="FF9900"/>
              </a:solidFill>
              <a:ln>
                <a:solidFill>
                  <a:srgbClr val="FF9900"/>
                </a:solidFill>
              </a:ln>
            </c:spPr>
          </c:marker>
          <c:errBars>
            <c:errDir val="y"/>
            <c:errBarType val="both"/>
            <c:errValType val="cust"/>
            <c:plus>
              <c:numRef>
                <c:f>Sheet1!$I$6:$M$6</c:f>
                <c:numCache>
                  <c:formatCode>General</c:formatCode>
                  <c:ptCount val="5"/>
                  <c:pt idx="0">
                    <c:v>2.6000000000000075E-2</c:v>
                  </c:pt>
                  <c:pt idx="1">
                    <c:v>3.0000000000000051E-2</c:v>
                  </c:pt>
                  <c:pt idx="2">
                    <c:v>4.2000000000000093E-2</c:v>
                  </c:pt>
                  <c:pt idx="3">
                    <c:v>5.5000000000000084E-2</c:v>
                  </c:pt>
                  <c:pt idx="4">
                    <c:v>3.6000000000000122E-2</c:v>
                  </c:pt>
                </c:numCache>
              </c:numRef>
            </c:plus>
            <c:minus>
              <c:numRef>
                <c:f>Sheet1!$I$6:$M$6</c:f>
                <c:numCache>
                  <c:formatCode>General</c:formatCode>
                  <c:ptCount val="5"/>
                  <c:pt idx="0">
                    <c:v>2.6000000000000075E-2</c:v>
                  </c:pt>
                  <c:pt idx="1">
                    <c:v>3.0000000000000051E-2</c:v>
                  </c:pt>
                  <c:pt idx="2">
                    <c:v>4.2000000000000093E-2</c:v>
                  </c:pt>
                  <c:pt idx="3">
                    <c:v>5.5000000000000084E-2</c:v>
                  </c:pt>
                  <c:pt idx="4">
                    <c:v>3.6000000000000122E-2</c:v>
                  </c:pt>
                </c:numCache>
              </c:numRef>
            </c:minus>
          </c:errBars>
          <c:cat>
            <c:strRef>
              <c:f>Sheet1!$A$5:$A$8</c:f>
              <c:strCache>
                <c:ptCount val="4"/>
                <c:pt idx="0">
                  <c:v>T0</c:v>
                </c:pt>
                <c:pt idx="1">
                  <c:v>T1</c:v>
                </c:pt>
                <c:pt idx="2">
                  <c:v>T2</c:v>
                </c:pt>
                <c:pt idx="3">
                  <c:v>T3</c:v>
                </c:pt>
              </c:strCache>
            </c:strRef>
          </c:cat>
          <c:val>
            <c:numRef>
              <c:f>Sheet1!$C$5:$C$8</c:f>
              <c:numCache>
                <c:formatCode>General</c:formatCode>
                <c:ptCount val="4"/>
                <c:pt idx="0">
                  <c:v>6.3</c:v>
                </c:pt>
                <c:pt idx="1">
                  <c:v>5.83</c:v>
                </c:pt>
                <c:pt idx="2">
                  <c:v>5.35</c:v>
                </c:pt>
                <c:pt idx="3">
                  <c:v>4.9800000000000004</c:v>
                </c:pt>
              </c:numCache>
            </c:numRef>
          </c:val>
        </c:ser>
        <c:ser>
          <c:idx val="2"/>
          <c:order val="2"/>
          <c:tx>
            <c:strRef>
              <c:f>Sheet1!$D$4</c:f>
              <c:strCache>
                <c:ptCount val="1"/>
                <c:pt idx="0">
                  <c:v>3 (Promilk)</c:v>
                </c:pt>
              </c:strCache>
            </c:strRef>
          </c:tx>
          <c:spPr>
            <a:ln w="12700"/>
          </c:spPr>
          <c:marker>
            <c:spPr>
              <a:solidFill>
                <a:srgbClr val="92D050"/>
              </a:solidFill>
            </c:spPr>
          </c:marker>
          <c:errBars>
            <c:errDir val="y"/>
            <c:errBarType val="both"/>
            <c:errValType val="cust"/>
            <c:plus>
              <c:numRef>
                <c:f>Sheet1!$I$7:$M$7</c:f>
                <c:numCache>
                  <c:formatCode>General</c:formatCode>
                  <c:ptCount val="5"/>
                  <c:pt idx="0">
                    <c:v>3.7000000000000137E-2</c:v>
                  </c:pt>
                  <c:pt idx="1">
                    <c:v>3.0000000000000051E-2</c:v>
                  </c:pt>
                  <c:pt idx="2">
                    <c:v>4.1000000000000002E-2</c:v>
                  </c:pt>
                  <c:pt idx="3">
                    <c:v>3.2000000000000181E-2</c:v>
                  </c:pt>
                  <c:pt idx="4">
                    <c:v>3.1000000000000159E-2</c:v>
                  </c:pt>
                </c:numCache>
              </c:numRef>
            </c:plus>
            <c:minus>
              <c:numRef>
                <c:f>Sheet1!$I$7:$M$7</c:f>
                <c:numCache>
                  <c:formatCode>General</c:formatCode>
                  <c:ptCount val="5"/>
                  <c:pt idx="0">
                    <c:v>3.7000000000000137E-2</c:v>
                  </c:pt>
                  <c:pt idx="1">
                    <c:v>3.0000000000000051E-2</c:v>
                  </c:pt>
                  <c:pt idx="2">
                    <c:v>4.1000000000000002E-2</c:v>
                  </c:pt>
                  <c:pt idx="3">
                    <c:v>3.2000000000000181E-2</c:v>
                  </c:pt>
                  <c:pt idx="4">
                    <c:v>3.1000000000000159E-2</c:v>
                  </c:pt>
                </c:numCache>
              </c:numRef>
            </c:minus>
          </c:errBars>
          <c:cat>
            <c:strRef>
              <c:f>Sheet1!$A$5:$A$8</c:f>
              <c:strCache>
                <c:ptCount val="4"/>
                <c:pt idx="0">
                  <c:v>T0</c:v>
                </c:pt>
                <c:pt idx="1">
                  <c:v>T1</c:v>
                </c:pt>
                <c:pt idx="2">
                  <c:v>T2</c:v>
                </c:pt>
                <c:pt idx="3">
                  <c:v>T3</c:v>
                </c:pt>
              </c:strCache>
            </c:strRef>
          </c:cat>
          <c:val>
            <c:numRef>
              <c:f>Sheet1!$D$5:$D$8</c:f>
              <c:numCache>
                <c:formatCode>General</c:formatCode>
                <c:ptCount val="4"/>
                <c:pt idx="0">
                  <c:v>6.58</c:v>
                </c:pt>
                <c:pt idx="1">
                  <c:v>6.08</c:v>
                </c:pt>
                <c:pt idx="2">
                  <c:v>5.49</c:v>
                </c:pt>
                <c:pt idx="3">
                  <c:v>5</c:v>
                </c:pt>
              </c:numCache>
            </c:numRef>
          </c:val>
        </c:ser>
        <c:ser>
          <c:idx val="3"/>
          <c:order val="3"/>
          <c:tx>
            <c:strRef>
              <c:f>Sheet1!$E$4</c:f>
              <c:strCache>
                <c:ptCount val="1"/>
                <c:pt idx="0">
                  <c:v>4 (H. Caseine)</c:v>
                </c:pt>
              </c:strCache>
            </c:strRef>
          </c:tx>
          <c:spPr>
            <a:ln w="12700">
              <a:solidFill>
                <a:srgbClr val="990099"/>
              </a:solidFill>
            </a:ln>
          </c:spPr>
          <c:marker>
            <c:spPr>
              <a:solidFill>
                <a:srgbClr val="990099"/>
              </a:solidFill>
              <a:ln>
                <a:solidFill>
                  <a:srgbClr val="990099"/>
                </a:solidFill>
              </a:ln>
            </c:spPr>
          </c:marker>
          <c:errBars>
            <c:errDir val="y"/>
            <c:errBarType val="both"/>
            <c:errValType val="cust"/>
            <c:plus>
              <c:numRef>
                <c:f>Sheet2!$L$3:$L$6</c:f>
                <c:numCache>
                  <c:formatCode>General</c:formatCode>
                  <c:ptCount val="4"/>
                  <c:pt idx="0">
                    <c:v>3.8000000000000041E-2</c:v>
                  </c:pt>
                  <c:pt idx="1">
                    <c:v>5.5000000000000084E-2</c:v>
                  </c:pt>
                  <c:pt idx="2">
                    <c:v>3.2000000000000181E-2</c:v>
                  </c:pt>
                  <c:pt idx="3">
                    <c:v>3.3000000000000002E-2</c:v>
                  </c:pt>
                </c:numCache>
              </c:numRef>
            </c:plus>
            <c:minus>
              <c:numRef>
                <c:f>Sheet2!$L$3:$L$6</c:f>
                <c:numCache>
                  <c:formatCode>General</c:formatCode>
                  <c:ptCount val="4"/>
                  <c:pt idx="0">
                    <c:v>3.8000000000000041E-2</c:v>
                  </c:pt>
                  <c:pt idx="1">
                    <c:v>5.5000000000000084E-2</c:v>
                  </c:pt>
                  <c:pt idx="2">
                    <c:v>3.2000000000000181E-2</c:v>
                  </c:pt>
                  <c:pt idx="3">
                    <c:v>3.3000000000000002E-2</c:v>
                  </c:pt>
                </c:numCache>
              </c:numRef>
            </c:minus>
          </c:errBars>
          <c:cat>
            <c:strRef>
              <c:f>Sheet1!$A$5:$A$8</c:f>
              <c:strCache>
                <c:ptCount val="4"/>
                <c:pt idx="0">
                  <c:v>T0</c:v>
                </c:pt>
                <c:pt idx="1">
                  <c:v>T1</c:v>
                </c:pt>
                <c:pt idx="2">
                  <c:v>T2</c:v>
                </c:pt>
                <c:pt idx="3">
                  <c:v>T3</c:v>
                </c:pt>
              </c:strCache>
            </c:strRef>
          </c:cat>
          <c:val>
            <c:numRef>
              <c:f>Sheet1!$E$5:$E$8</c:f>
              <c:numCache>
                <c:formatCode>General</c:formatCode>
                <c:ptCount val="4"/>
                <c:pt idx="0">
                  <c:v>6.57</c:v>
                </c:pt>
                <c:pt idx="1">
                  <c:v>6.02</c:v>
                </c:pt>
                <c:pt idx="2">
                  <c:v>5.3599999999999985</c:v>
                </c:pt>
                <c:pt idx="3">
                  <c:v>4.96</c:v>
                </c:pt>
              </c:numCache>
            </c:numRef>
          </c:val>
        </c:ser>
        <c:ser>
          <c:idx val="4"/>
          <c:order val="4"/>
          <c:tx>
            <c:strRef>
              <c:f>Sheet1!$F$4</c:f>
              <c:strCache>
                <c:ptCount val="1"/>
                <c:pt idx="0">
                  <c:v>5 (H. Proteine)</c:v>
                </c:pt>
              </c:strCache>
            </c:strRef>
          </c:tx>
          <c:spPr>
            <a:ln w="12700">
              <a:solidFill>
                <a:srgbClr val="FF33CC"/>
              </a:solidFill>
            </a:ln>
          </c:spPr>
          <c:marker>
            <c:symbol val="circle"/>
            <c:size val="4"/>
            <c:spPr>
              <a:solidFill>
                <a:srgbClr val="FF33CC"/>
              </a:solidFill>
              <a:ln>
                <a:solidFill>
                  <a:srgbClr val="FF33CC"/>
                </a:solidFill>
              </a:ln>
            </c:spPr>
          </c:marker>
          <c:errBars>
            <c:errDir val="y"/>
            <c:errBarType val="both"/>
            <c:errValType val="cust"/>
            <c:plus>
              <c:numRef>
                <c:f>Sheet2!$M$3:$M$6</c:f>
                <c:numCache>
                  <c:formatCode>General</c:formatCode>
                  <c:ptCount val="4"/>
                  <c:pt idx="0">
                    <c:v>3.7000000000000137E-2</c:v>
                  </c:pt>
                  <c:pt idx="1">
                    <c:v>3.6000000000000122E-2</c:v>
                  </c:pt>
                  <c:pt idx="2">
                    <c:v>3.1000000000000159E-2</c:v>
                  </c:pt>
                  <c:pt idx="3">
                    <c:v>2.6000000000000075E-2</c:v>
                  </c:pt>
                </c:numCache>
              </c:numRef>
            </c:plus>
            <c:minus>
              <c:numRef>
                <c:f>Sheet2!$M$3:$M$6</c:f>
                <c:numCache>
                  <c:formatCode>General</c:formatCode>
                  <c:ptCount val="4"/>
                  <c:pt idx="0">
                    <c:v>3.7000000000000137E-2</c:v>
                  </c:pt>
                  <c:pt idx="1">
                    <c:v>3.6000000000000122E-2</c:v>
                  </c:pt>
                  <c:pt idx="2">
                    <c:v>3.1000000000000159E-2</c:v>
                  </c:pt>
                  <c:pt idx="3">
                    <c:v>2.6000000000000075E-2</c:v>
                  </c:pt>
                </c:numCache>
              </c:numRef>
            </c:minus>
            <c:spPr>
              <a:ln w="3175">
                <a:solidFill>
                  <a:srgbClr val="000000"/>
                </a:solidFill>
                <a:prstDash val="solid"/>
              </a:ln>
            </c:spPr>
          </c:errBars>
          <c:cat>
            <c:strRef>
              <c:f>Sheet1!$A$5:$A$8</c:f>
              <c:strCache>
                <c:ptCount val="4"/>
                <c:pt idx="0">
                  <c:v>T0</c:v>
                </c:pt>
                <c:pt idx="1">
                  <c:v>T1</c:v>
                </c:pt>
                <c:pt idx="2">
                  <c:v>T2</c:v>
                </c:pt>
                <c:pt idx="3">
                  <c:v>T3</c:v>
                </c:pt>
              </c:strCache>
            </c:strRef>
          </c:cat>
          <c:val>
            <c:numRef>
              <c:f>Sheet1!$F$5:$F$8</c:f>
              <c:numCache>
                <c:formatCode>General</c:formatCode>
                <c:ptCount val="4"/>
                <c:pt idx="0">
                  <c:v>6.5949999999999855</c:v>
                </c:pt>
                <c:pt idx="1">
                  <c:v>5.95</c:v>
                </c:pt>
                <c:pt idx="2">
                  <c:v>5.49</c:v>
                </c:pt>
                <c:pt idx="3">
                  <c:v>4.96</c:v>
                </c:pt>
              </c:numCache>
            </c:numRef>
          </c:val>
        </c:ser>
        <c:marker val="1"/>
        <c:axId val="59595008"/>
        <c:axId val="59597184"/>
      </c:lineChart>
      <c:catAx>
        <c:axId val="59595008"/>
        <c:scaling>
          <c:orientation val="minMax"/>
        </c:scaling>
        <c:axPos val="b"/>
        <c:title>
          <c:tx>
            <c:rich>
              <a:bodyPr/>
              <a:lstStyle/>
              <a:p>
                <a:pPr>
                  <a:defRPr/>
                </a:pPr>
                <a:r>
                  <a:rPr lang="en-US"/>
                  <a:t>Temps</a:t>
                </a:r>
                <a:r>
                  <a:rPr lang="en-US" baseline="0"/>
                  <a:t> (h)</a:t>
                </a:r>
                <a:endParaRPr lang="en-US"/>
              </a:p>
            </c:rich>
          </c:tx>
          <c:layout>
            <c:manualLayout>
              <c:xMode val="edge"/>
              <c:yMode val="edge"/>
              <c:x val="0.46626108998732585"/>
              <c:y val="0.91091954022988564"/>
            </c:manualLayout>
          </c:layout>
        </c:title>
        <c:numFmt formatCode="General" sourceLinked="1"/>
        <c:tickLblPos val="nextTo"/>
        <c:spPr>
          <a:ln w="9525">
            <a:solidFill>
              <a:sysClr val="windowText" lastClr="000000"/>
            </a:solidFill>
          </a:ln>
        </c:spPr>
        <c:crossAx val="59597184"/>
        <c:crosses val="autoZero"/>
        <c:auto val="1"/>
        <c:lblAlgn val="ctr"/>
        <c:lblOffset val="100"/>
      </c:catAx>
      <c:valAx>
        <c:axId val="59597184"/>
        <c:scaling>
          <c:orientation val="minMax"/>
          <c:max val="7"/>
          <c:min val="4"/>
        </c:scaling>
        <c:axPos val="l"/>
        <c:title>
          <c:tx>
            <c:rich>
              <a:bodyPr rot="-5400000" vert="horz"/>
              <a:lstStyle/>
              <a:p>
                <a:pPr>
                  <a:defRPr/>
                </a:pPr>
                <a:r>
                  <a:rPr lang="en-US"/>
                  <a:t>pH</a:t>
                </a:r>
              </a:p>
            </c:rich>
          </c:tx>
          <c:layout/>
        </c:title>
        <c:numFmt formatCode="General" sourceLinked="1"/>
        <c:tickLblPos val="nextTo"/>
        <c:spPr>
          <a:ln w="9525">
            <a:solidFill>
              <a:schemeClr val="tx1"/>
            </a:solidFill>
          </a:ln>
        </c:spPr>
        <c:crossAx val="59595008"/>
        <c:crosses val="autoZero"/>
        <c:crossBetween val="midCat"/>
        <c:majorUnit val="0.5"/>
      </c:valAx>
    </c:plotArea>
    <c:plotVisOnly val="1"/>
    <c:dispBlanksAs val="gap"/>
  </c:chart>
  <c:spPr>
    <a:ln>
      <a:solidFill>
        <a:schemeClr val="bg1"/>
      </a:solidFill>
    </a:ln>
  </c:spPr>
  <c:txPr>
    <a:bodyPr/>
    <a:lstStyle/>
    <a:p>
      <a:pPr>
        <a:defRPr b="1">
          <a:latin typeface="Times New Roman" pitchFamily="18" charset="0"/>
          <a:cs typeface="Times New Roman" pitchFamily="18" charset="0"/>
        </a:defRPr>
      </a:pPr>
      <a:endParaRPr lang="fr-FR"/>
    </a:p>
  </c:txPr>
  <c:externalData r:id="rId1"/>
  <c:userShapes r:id="rId2"/>
</c:chartSpace>
</file>

<file path=word/charts/chart14.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sz="1600"/>
            </a:pPr>
            <a:r>
              <a:rPr lang="fr-FR" sz="1800"/>
              <a:t>B</a:t>
            </a:r>
          </a:p>
        </c:rich>
      </c:tx>
      <c:layout>
        <c:manualLayout>
          <c:xMode val="edge"/>
          <c:yMode val="edge"/>
          <c:x val="2.2135371764661115E-3"/>
          <c:y val="0"/>
        </c:manualLayout>
      </c:layout>
      <c:spPr>
        <a:solidFill>
          <a:schemeClr val="bg1">
            <a:lumMod val="85000"/>
          </a:schemeClr>
        </a:solidFill>
        <a:effectLst/>
        <a:scene3d>
          <a:camera prst="orthographicFront"/>
          <a:lightRig rig="threePt" dir="t"/>
        </a:scene3d>
        <a:sp3d>
          <a:bevelT w="190500" h="38100"/>
        </a:sp3d>
      </c:spPr>
    </c:title>
    <c:plotArea>
      <c:layout>
        <c:manualLayout>
          <c:layoutTarget val="inner"/>
          <c:xMode val="edge"/>
          <c:yMode val="edge"/>
          <c:x val="0.18728180638070074"/>
          <c:y val="0.10261426572779724"/>
          <c:w val="0.74052069685688071"/>
          <c:h val="0.67176338640489575"/>
        </c:manualLayout>
      </c:layout>
      <c:lineChart>
        <c:grouping val="standard"/>
        <c:ser>
          <c:idx val="0"/>
          <c:order val="0"/>
          <c:tx>
            <c:strRef>
              <c:f>Sheet1!$B$4</c:f>
              <c:strCache>
                <c:ptCount val="1"/>
                <c:pt idx="0">
                  <c:v>1 (Temoin)</c:v>
                </c:pt>
              </c:strCache>
            </c:strRef>
          </c:tx>
          <c:spPr>
            <a:ln w="12700"/>
          </c:spPr>
          <c:errBars>
            <c:errDir val="y"/>
            <c:errBarType val="both"/>
            <c:errValType val="cust"/>
            <c:plus>
              <c:numRef>
                <c:f>Sheet1!$I$5:$M$5</c:f>
                <c:numCache>
                  <c:formatCode>General</c:formatCode>
                  <c:ptCount val="5"/>
                  <c:pt idx="0">
                    <c:v>1.4000000000000002E-2</c:v>
                  </c:pt>
                  <c:pt idx="1">
                    <c:v>2.6000000000000002E-2</c:v>
                  </c:pt>
                  <c:pt idx="2">
                    <c:v>3.9000000000000042E-2</c:v>
                  </c:pt>
                  <c:pt idx="3">
                    <c:v>3.7000000000000012E-2</c:v>
                  </c:pt>
                  <c:pt idx="4">
                    <c:v>2.300000000000001E-2</c:v>
                  </c:pt>
                </c:numCache>
              </c:numRef>
            </c:plus>
            <c:minus>
              <c:numRef>
                <c:f>Sheet1!$I$5:$M$5</c:f>
                <c:numCache>
                  <c:formatCode>General</c:formatCode>
                  <c:ptCount val="5"/>
                  <c:pt idx="0">
                    <c:v>1.4000000000000002E-2</c:v>
                  </c:pt>
                  <c:pt idx="1">
                    <c:v>2.6000000000000002E-2</c:v>
                  </c:pt>
                  <c:pt idx="2">
                    <c:v>3.9000000000000042E-2</c:v>
                  </c:pt>
                  <c:pt idx="3">
                    <c:v>3.7000000000000012E-2</c:v>
                  </c:pt>
                  <c:pt idx="4">
                    <c:v>2.300000000000001E-2</c:v>
                  </c:pt>
                </c:numCache>
              </c:numRef>
            </c:minus>
          </c:errBars>
          <c:cat>
            <c:strRef>
              <c:f>Sheet1!$A$5:$A$8</c:f>
              <c:strCache>
                <c:ptCount val="4"/>
                <c:pt idx="0">
                  <c:v>T0</c:v>
                </c:pt>
                <c:pt idx="1">
                  <c:v>T1</c:v>
                </c:pt>
                <c:pt idx="2">
                  <c:v>T2</c:v>
                </c:pt>
                <c:pt idx="3">
                  <c:v>T3</c:v>
                </c:pt>
              </c:strCache>
            </c:strRef>
          </c:cat>
          <c:val>
            <c:numRef>
              <c:f>Sheet1!$B$5:$B$8</c:f>
              <c:numCache>
                <c:formatCode>General</c:formatCode>
                <c:ptCount val="4"/>
                <c:pt idx="0">
                  <c:v>6.6</c:v>
                </c:pt>
                <c:pt idx="1">
                  <c:v>6.18</c:v>
                </c:pt>
                <c:pt idx="2">
                  <c:v>5.46</c:v>
                </c:pt>
                <c:pt idx="3">
                  <c:v>4.99</c:v>
                </c:pt>
              </c:numCache>
            </c:numRef>
          </c:val>
        </c:ser>
        <c:ser>
          <c:idx val="1"/>
          <c:order val="1"/>
          <c:tx>
            <c:strRef>
              <c:f>Sheet1!$C$4</c:f>
              <c:strCache>
                <c:ptCount val="1"/>
                <c:pt idx="0">
                  <c:v>2 (Lactoserum)</c:v>
                </c:pt>
              </c:strCache>
            </c:strRef>
          </c:tx>
          <c:spPr>
            <a:ln w="12700">
              <a:solidFill>
                <a:srgbClr val="FF9900"/>
              </a:solidFill>
            </a:ln>
          </c:spPr>
          <c:marker>
            <c:symbol val="square"/>
            <c:size val="4"/>
            <c:spPr>
              <a:solidFill>
                <a:srgbClr val="FF9900"/>
              </a:solidFill>
              <a:ln>
                <a:solidFill>
                  <a:srgbClr val="FF9900"/>
                </a:solidFill>
              </a:ln>
            </c:spPr>
          </c:marker>
          <c:errBars>
            <c:errDir val="y"/>
            <c:errBarType val="both"/>
            <c:errValType val="cust"/>
            <c:plus>
              <c:numRef>
                <c:f>Sheet1!$I$6:$M$6</c:f>
                <c:numCache>
                  <c:formatCode>General</c:formatCode>
                  <c:ptCount val="5"/>
                  <c:pt idx="0">
                    <c:v>2.6000000000000002E-2</c:v>
                  </c:pt>
                  <c:pt idx="1">
                    <c:v>3.7000000000000012E-2</c:v>
                  </c:pt>
                  <c:pt idx="2">
                    <c:v>3.2000000000000056E-2</c:v>
                  </c:pt>
                  <c:pt idx="3">
                    <c:v>3.6000000000000011E-2</c:v>
                  </c:pt>
                  <c:pt idx="4">
                    <c:v>2.9000000000000012E-2</c:v>
                  </c:pt>
                </c:numCache>
              </c:numRef>
            </c:plus>
            <c:minus>
              <c:numRef>
                <c:f>Sheet1!$I$6:$M$6</c:f>
                <c:numCache>
                  <c:formatCode>General</c:formatCode>
                  <c:ptCount val="5"/>
                  <c:pt idx="0">
                    <c:v>2.6000000000000002E-2</c:v>
                  </c:pt>
                  <c:pt idx="1">
                    <c:v>3.7000000000000012E-2</c:v>
                  </c:pt>
                  <c:pt idx="2">
                    <c:v>3.2000000000000056E-2</c:v>
                  </c:pt>
                  <c:pt idx="3">
                    <c:v>3.6000000000000011E-2</c:v>
                  </c:pt>
                  <c:pt idx="4">
                    <c:v>2.9000000000000012E-2</c:v>
                  </c:pt>
                </c:numCache>
              </c:numRef>
            </c:minus>
          </c:errBars>
          <c:cat>
            <c:strRef>
              <c:f>Sheet1!$A$5:$A$8</c:f>
              <c:strCache>
                <c:ptCount val="4"/>
                <c:pt idx="0">
                  <c:v>T0</c:v>
                </c:pt>
                <c:pt idx="1">
                  <c:v>T1</c:v>
                </c:pt>
                <c:pt idx="2">
                  <c:v>T2</c:v>
                </c:pt>
                <c:pt idx="3">
                  <c:v>T3</c:v>
                </c:pt>
              </c:strCache>
            </c:strRef>
          </c:cat>
          <c:val>
            <c:numRef>
              <c:f>Sheet1!$C$5:$C$8</c:f>
              <c:numCache>
                <c:formatCode>General</c:formatCode>
                <c:ptCount val="4"/>
                <c:pt idx="0">
                  <c:v>6.2</c:v>
                </c:pt>
                <c:pt idx="1">
                  <c:v>5.78</c:v>
                </c:pt>
                <c:pt idx="2">
                  <c:v>5.24</c:v>
                </c:pt>
                <c:pt idx="3">
                  <c:v>4.9800000000000004</c:v>
                </c:pt>
              </c:numCache>
            </c:numRef>
          </c:val>
        </c:ser>
        <c:ser>
          <c:idx val="2"/>
          <c:order val="2"/>
          <c:tx>
            <c:strRef>
              <c:f>Sheet1!$D$4</c:f>
              <c:strCache>
                <c:ptCount val="1"/>
                <c:pt idx="0">
                  <c:v>3 (Promilk)</c:v>
                </c:pt>
              </c:strCache>
            </c:strRef>
          </c:tx>
          <c:spPr>
            <a:ln w="12700"/>
          </c:spPr>
          <c:errBars>
            <c:errDir val="y"/>
            <c:errBarType val="both"/>
            <c:errValType val="cust"/>
            <c:plus>
              <c:numRef>
                <c:f>Sheet1!$I$7:$M$7</c:f>
                <c:numCache>
                  <c:formatCode>General</c:formatCode>
                  <c:ptCount val="5"/>
                  <c:pt idx="0">
                    <c:v>3.4000000000000002E-2</c:v>
                  </c:pt>
                  <c:pt idx="1">
                    <c:v>2.7000000000000145E-2</c:v>
                  </c:pt>
                  <c:pt idx="2">
                    <c:v>3.1000000000000121E-2</c:v>
                  </c:pt>
                  <c:pt idx="3">
                    <c:v>4.4000000000000032E-2</c:v>
                  </c:pt>
                  <c:pt idx="4">
                    <c:v>4.1000000000000002E-2</c:v>
                  </c:pt>
                </c:numCache>
              </c:numRef>
            </c:plus>
            <c:minus>
              <c:numRef>
                <c:f>Sheet1!$I$7:$M$7</c:f>
                <c:numCache>
                  <c:formatCode>General</c:formatCode>
                  <c:ptCount val="5"/>
                  <c:pt idx="0">
                    <c:v>3.4000000000000002E-2</c:v>
                  </c:pt>
                  <c:pt idx="1">
                    <c:v>2.7000000000000145E-2</c:v>
                  </c:pt>
                  <c:pt idx="2">
                    <c:v>3.1000000000000121E-2</c:v>
                  </c:pt>
                  <c:pt idx="3">
                    <c:v>4.4000000000000032E-2</c:v>
                  </c:pt>
                  <c:pt idx="4">
                    <c:v>4.1000000000000002E-2</c:v>
                  </c:pt>
                </c:numCache>
              </c:numRef>
            </c:minus>
          </c:errBars>
          <c:cat>
            <c:strRef>
              <c:f>Sheet1!$A$5:$A$8</c:f>
              <c:strCache>
                <c:ptCount val="4"/>
                <c:pt idx="0">
                  <c:v>T0</c:v>
                </c:pt>
                <c:pt idx="1">
                  <c:v>T1</c:v>
                </c:pt>
                <c:pt idx="2">
                  <c:v>T2</c:v>
                </c:pt>
                <c:pt idx="3">
                  <c:v>T3</c:v>
                </c:pt>
              </c:strCache>
            </c:strRef>
          </c:cat>
          <c:val>
            <c:numRef>
              <c:f>Sheet1!$D$5:$D$8</c:f>
              <c:numCache>
                <c:formatCode>General</c:formatCode>
                <c:ptCount val="4"/>
                <c:pt idx="0">
                  <c:v>6.56</c:v>
                </c:pt>
                <c:pt idx="1">
                  <c:v>5.96</c:v>
                </c:pt>
                <c:pt idx="2">
                  <c:v>5.3599999999999985</c:v>
                </c:pt>
                <c:pt idx="3">
                  <c:v>4.99</c:v>
                </c:pt>
              </c:numCache>
            </c:numRef>
          </c:val>
        </c:ser>
        <c:ser>
          <c:idx val="3"/>
          <c:order val="3"/>
          <c:tx>
            <c:strRef>
              <c:f>Sheet1!$E$4</c:f>
              <c:strCache>
                <c:ptCount val="1"/>
                <c:pt idx="0">
                  <c:v>4 (H. Caseine)</c:v>
                </c:pt>
              </c:strCache>
            </c:strRef>
          </c:tx>
          <c:spPr>
            <a:ln w="12700">
              <a:solidFill>
                <a:srgbClr val="990099"/>
              </a:solidFill>
            </a:ln>
          </c:spPr>
          <c:marker>
            <c:spPr>
              <a:solidFill>
                <a:srgbClr val="990099"/>
              </a:solidFill>
              <a:ln>
                <a:solidFill>
                  <a:srgbClr val="990099"/>
                </a:solidFill>
              </a:ln>
            </c:spPr>
          </c:marker>
          <c:errBars>
            <c:errDir val="y"/>
            <c:errBarType val="both"/>
            <c:errValType val="cust"/>
            <c:plus>
              <c:numRef>
                <c:f>Sheet1!$I$8:$M$8</c:f>
                <c:numCache>
                  <c:formatCode>General</c:formatCode>
                  <c:ptCount val="5"/>
                  <c:pt idx="0">
                    <c:v>3.1000000000000121E-2</c:v>
                  </c:pt>
                  <c:pt idx="1">
                    <c:v>3.3000000000000002E-2</c:v>
                  </c:pt>
                  <c:pt idx="2">
                    <c:v>2.8000000000000004E-2</c:v>
                  </c:pt>
                  <c:pt idx="3">
                    <c:v>3.5000000000000045E-2</c:v>
                  </c:pt>
                  <c:pt idx="4">
                    <c:v>4.6000000000000013E-2</c:v>
                  </c:pt>
                </c:numCache>
              </c:numRef>
            </c:plus>
            <c:minus>
              <c:numRef>
                <c:f>Sheet1!$I$8:$M$8</c:f>
                <c:numCache>
                  <c:formatCode>General</c:formatCode>
                  <c:ptCount val="5"/>
                  <c:pt idx="0">
                    <c:v>3.1000000000000121E-2</c:v>
                  </c:pt>
                  <c:pt idx="1">
                    <c:v>3.3000000000000002E-2</c:v>
                  </c:pt>
                  <c:pt idx="2">
                    <c:v>2.8000000000000004E-2</c:v>
                  </c:pt>
                  <c:pt idx="3">
                    <c:v>3.5000000000000045E-2</c:v>
                  </c:pt>
                  <c:pt idx="4">
                    <c:v>4.6000000000000013E-2</c:v>
                  </c:pt>
                </c:numCache>
              </c:numRef>
            </c:minus>
          </c:errBars>
          <c:cat>
            <c:strRef>
              <c:f>Sheet1!$A$5:$A$8</c:f>
              <c:strCache>
                <c:ptCount val="4"/>
                <c:pt idx="0">
                  <c:v>T0</c:v>
                </c:pt>
                <c:pt idx="1">
                  <c:v>T1</c:v>
                </c:pt>
                <c:pt idx="2">
                  <c:v>T2</c:v>
                </c:pt>
                <c:pt idx="3">
                  <c:v>T3</c:v>
                </c:pt>
              </c:strCache>
            </c:strRef>
          </c:cat>
          <c:val>
            <c:numRef>
              <c:f>Sheet1!$E$5:$E$8</c:f>
              <c:numCache>
                <c:formatCode>General</c:formatCode>
                <c:ptCount val="4"/>
                <c:pt idx="0">
                  <c:v>6.6099999999999985</c:v>
                </c:pt>
                <c:pt idx="1">
                  <c:v>6.09</c:v>
                </c:pt>
                <c:pt idx="2">
                  <c:v>5.4700000000000024</c:v>
                </c:pt>
                <c:pt idx="3">
                  <c:v>4.99</c:v>
                </c:pt>
              </c:numCache>
            </c:numRef>
          </c:val>
        </c:ser>
        <c:ser>
          <c:idx val="4"/>
          <c:order val="4"/>
          <c:tx>
            <c:strRef>
              <c:f>Sheet1!$F$4</c:f>
              <c:strCache>
                <c:ptCount val="1"/>
                <c:pt idx="0">
                  <c:v>5 (H. Proteine)</c:v>
                </c:pt>
              </c:strCache>
            </c:strRef>
          </c:tx>
          <c:spPr>
            <a:ln w="12700">
              <a:solidFill>
                <a:srgbClr val="FF33CC"/>
              </a:solidFill>
            </a:ln>
          </c:spPr>
          <c:marker>
            <c:symbol val="circle"/>
            <c:size val="4"/>
            <c:spPr>
              <a:solidFill>
                <a:srgbClr val="FF33CC"/>
              </a:solidFill>
              <a:ln>
                <a:solidFill>
                  <a:srgbClr val="FF33CC"/>
                </a:solidFill>
              </a:ln>
            </c:spPr>
          </c:marker>
          <c:cat>
            <c:strRef>
              <c:f>Sheet1!$A$5:$A$8</c:f>
              <c:strCache>
                <c:ptCount val="4"/>
                <c:pt idx="0">
                  <c:v>T0</c:v>
                </c:pt>
                <c:pt idx="1">
                  <c:v>T1</c:v>
                </c:pt>
                <c:pt idx="2">
                  <c:v>T2</c:v>
                </c:pt>
                <c:pt idx="3">
                  <c:v>T3</c:v>
                </c:pt>
              </c:strCache>
            </c:strRef>
          </c:cat>
          <c:val>
            <c:numRef>
              <c:f>Sheet1!$F$5:$F$8</c:f>
              <c:numCache>
                <c:formatCode>General</c:formatCode>
                <c:ptCount val="4"/>
                <c:pt idx="0">
                  <c:v>6.57</c:v>
                </c:pt>
                <c:pt idx="1">
                  <c:v>5.99</c:v>
                </c:pt>
                <c:pt idx="2">
                  <c:v>5.3599999999999985</c:v>
                </c:pt>
                <c:pt idx="3">
                  <c:v>4.9700000000000024</c:v>
                </c:pt>
              </c:numCache>
            </c:numRef>
          </c:val>
        </c:ser>
        <c:marker val="1"/>
        <c:axId val="59650432"/>
        <c:axId val="59652736"/>
      </c:lineChart>
      <c:catAx>
        <c:axId val="59650432"/>
        <c:scaling>
          <c:orientation val="minMax"/>
        </c:scaling>
        <c:axPos val="b"/>
        <c:title>
          <c:tx>
            <c:rich>
              <a:bodyPr/>
              <a:lstStyle/>
              <a:p>
                <a:pPr>
                  <a:defRPr sz="1000" b="1" i="0" u="none" strike="noStrike" baseline="0">
                    <a:solidFill>
                      <a:srgbClr val="000000"/>
                    </a:solidFill>
                    <a:latin typeface="Times New Roman"/>
                    <a:ea typeface="Times New Roman"/>
                    <a:cs typeface="Times New Roman"/>
                  </a:defRPr>
                </a:pPr>
                <a:r>
                  <a:rPr lang="fr-FR"/>
                  <a:t>Temps (h)</a:t>
                </a:r>
              </a:p>
            </c:rich>
          </c:tx>
          <c:layout>
            <c:manualLayout>
              <c:xMode val="edge"/>
              <c:yMode val="edge"/>
              <c:x val="0.35009681166903428"/>
              <c:y val="0.91048277565131241"/>
            </c:manualLayout>
          </c:layout>
        </c:title>
        <c:numFmt formatCode="General" sourceLinked="1"/>
        <c:tickLblPos val="nextTo"/>
        <c:spPr>
          <a:ln>
            <a:solidFill>
              <a:sysClr val="windowText" lastClr="000000"/>
            </a:solidFill>
          </a:ln>
        </c:spPr>
        <c:txPr>
          <a:bodyPr rot="0" vert="horz"/>
          <a:lstStyle/>
          <a:p>
            <a:pPr>
              <a:defRPr sz="1000" b="1" i="0" u="none" strike="noStrike" baseline="0">
                <a:solidFill>
                  <a:srgbClr val="000000"/>
                </a:solidFill>
                <a:latin typeface="Times New Roman"/>
                <a:ea typeface="Times New Roman"/>
                <a:cs typeface="Times New Roman"/>
              </a:defRPr>
            </a:pPr>
            <a:endParaRPr lang="fr-FR"/>
          </a:p>
        </c:txPr>
        <c:crossAx val="59652736"/>
        <c:crosses val="autoZero"/>
        <c:auto val="1"/>
        <c:lblAlgn val="ctr"/>
        <c:lblOffset val="100"/>
      </c:catAx>
      <c:valAx>
        <c:axId val="59652736"/>
        <c:scaling>
          <c:orientation val="minMax"/>
          <c:max val="7"/>
          <c:min val="4.5"/>
        </c:scaling>
        <c:axPos val="l"/>
        <c:title>
          <c:tx>
            <c:rich>
              <a:bodyPr/>
              <a:lstStyle/>
              <a:p>
                <a:pPr>
                  <a:defRPr sz="1000" b="1" i="0" u="none" strike="noStrike" baseline="0">
                    <a:solidFill>
                      <a:srgbClr val="000000"/>
                    </a:solidFill>
                    <a:latin typeface="Times New Roman"/>
                    <a:ea typeface="Times New Roman"/>
                    <a:cs typeface="Times New Roman"/>
                  </a:defRPr>
                </a:pPr>
                <a:r>
                  <a:rPr lang="fr-FR"/>
                  <a:t>pH</a:t>
                </a:r>
              </a:p>
            </c:rich>
          </c:tx>
          <c:layout/>
        </c:title>
        <c:numFmt formatCode="General" sourceLinked="1"/>
        <c:tickLblPos val="nextTo"/>
        <c:spPr>
          <a:ln>
            <a:solidFill>
              <a:sysClr val="windowText" lastClr="000000"/>
            </a:solidFill>
          </a:ln>
        </c:spPr>
        <c:txPr>
          <a:bodyPr rot="0" vert="horz"/>
          <a:lstStyle/>
          <a:p>
            <a:pPr>
              <a:defRPr sz="1000" b="1" i="0" u="none" strike="noStrike" baseline="0">
                <a:solidFill>
                  <a:srgbClr val="000000"/>
                </a:solidFill>
                <a:latin typeface="Times New Roman"/>
                <a:ea typeface="Times New Roman"/>
                <a:cs typeface="Times New Roman"/>
              </a:defRPr>
            </a:pPr>
            <a:endParaRPr lang="fr-FR"/>
          </a:p>
        </c:txPr>
        <c:crossAx val="59650432"/>
        <c:crosses val="autoZero"/>
        <c:crossBetween val="midCat"/>
        <c:majorUnit val="0.5"/>
      </c:valAx>
    </c:plotArea>
    <c:plotVisOnly val="1"/>
    <c:dispBlanksAs val="gap"/>
  </c:chart>
  <c:spPr>
    <a:ln>
      <a:solidFill>
        <a:schemeClr val="bg1"/>
      </a:solidFill>
    </a:ln>
  </c:spPr>
  <c:txPr>
    <a:bodyPr/>
    <a:lstStyle/>
    <a:p>
      <a:pPr>
        <a:defRPr sz="1000" b="1" i="0" u="none" strike="noStrike" baseline="0">
          <a:solidFill>
            <a:srgbClr val="000000"/>
          </a:solidFill>
          <a:latin typeface="Times New Roman"/>
          <a:ea typeface="Times New Roman"/>
          <a:cs typeface="Times New Roman"/>
        </a:defRPr>
      </a:pPr>
      <a:endParaRPr lang="fr-FR"/>
    </a:p>
  </c:txPr>
  <c:externalData r:id="rId1"/>
  <c:userShapes r:id="rId2"/>
</c:chartSpace>
</file>

<file path=word/charts/chart15.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a:pPr>
            <a:r>
              <a:rPr lang="fr-FR"/>
              <a:t>A</a:t>
            </a:r>
          </a:p>
        </c:rich>
      </c:tx>
      <c:layout>
        <c:manualLayout>
          <c:xMode val="edge"/>
          <c:yMode val="edge"/>
          <c:x val="2.2497827703277934E-3"/>
          <c:y val="0"/>
        </c:manualLayout>
      </c:layout>
      <c:spPr>
        <a:solidFill>
          <a:schemeClr val="bg1">
            <a:lumMod val="85000"/>
          </a:schemeClr>
        </a:solidFill>
        <a:effectLst/>
        <a:scene3d>
          <a:camera prst="orthographicFront"/>
          <a:lightRig rig="threePt" dir="t"/>
        </a:scene3d>
        <a:sp3d>
          <a:bevelT w="190500" h="38100"/>
        </a:sp3d>
      </c:spPr>
    </c:title>
    <c:plotArea>
      <c:layout>
        <c:manualLayout>
          <c:layoutTarget val="inner"/>
          <c:xMode val="edge"/>
          <c:yMode val="edge"/>
          <c:x val="0.20990600672597559"/>
          <c:y val="5.3242659697535957E-2"/>
          <c:w val="0.72792543423540057"/>
          <c:h val="0.73071870800838989"/>
        </c:manualLayout>
      </c:layout>
      <c:lineChart>
        <c:grouping val="standard"/>
        <c:ser>
          <c:idx val="0"/>
          <c:order val="0"/>
          <c:tx>
            <c:strRef>
              <c:f>Sheet1!$B$4</c:f>
              <c:strCache>
                <c:ptCount val="1"/>
                <c:pt idx="0">
                  <c:v>1 (Temoin)</c:v>
                </c:pt>
              </c:strCache>
            </c:strRef>
          </c:tx>
          <c:spPr>
            <a:ln w="12700">
              <a:solidFill>
                <a:srgbClr val="0070C0"/>
              </a:solidFill>
            </a:ln>
          </c:spPr>
          <c:marker>
            <c:spPr>
              <a:solidFill>
                <a:srgbClr val="0070C0"/>
              </a:solidFill>
              <a:ln>
                <a:solidFill>
                  <a:srgbClr val="0070C0"/>
                </a:solidFill>
              </a:ln>
            </c:spPr>
          </c:marker>
          <c:errBars>
            <c:errDir val="y"/>
            <c:errBarType val="both"/>
            <c:errValType val="cust"/>
            <c:plus>
              <c:numRef>
                <c:f>Sheet1!$I$5:$M$5</c:f>
                <c:numCache>
                  <c:formatCode>General</c:formatCode>
                  <c:ptCount val="5"/>
                  <c:pt idx="0">
                    <c:v>2.5999999999999999E-2</c:v>
                  </c:pt>
                  <c:pt idx="1">
                    <c:v>3.5999999999999997E-2</c:v>
                  </c:pt>
                  <c:pt idx="2">
                    <c:v>2.9000000000000001E-2</c:v>
                  </c:pt>
                  <c:pt idx="3">
                    <c:v>4.7000000000000014E-2</c:v>
                  </c:pt>
                  <c:pt idx="4">
                    <c:v>0.05</c:v>
                  </c:pt>
                </c:numCache>
              </c:numRef>
            </c:plus>
            <c:minus>
              <c:numRef>
                <c:f>Sheet1!$I$5:$M$5</c:f>
                <c:numCache>
                  <c:formatCode>General</c:formatCode>
                  <c:ptCount val="5"/>
                  <c:pt idx="0">
                    <c:v>2.5999999999999999E-2</c:v>
                  </c:pt>
                  <c:pt idx="1">
                    <c:v>3.5999999999999997E-2</c:v>
                  </c:pt>
                  <c:pt idx="2">
                    <c:v>2.9000000000000001E-2</c:v>
                  </c:pt>
                  <c:pt idx="3">
                    <c:v>4.7000000000000014E-2</c:v>
                  </c:pt>
                  <c:pt idx="4">
                    <c:v>0.05</c:v>
                  </c:pt>
                </c:numCache>
              </c:numRef>
            </c:minus>
          </c:errBars>
          <c:cat>
            <c:strRef>
              <c:f>Sheet1!$A$5:$A$8</c:f>
              <c:strCache>
                <c:ptCount val="4"/>
                <c:pt idx="0">
                  <c:v>T0</c:v>
                </c:pt>
                <c:pt idx="1">
                  <c:v>T1</c:v>
                </c:pt>
                <c:pt idx="2">
                  <c:v>T2</c:v>
                </c:pt>
                <c:pt idx="3">
                  <c:v>T3</c:v>
                </c:pt>
              </c:strCache>
            </c:strRef>
          </c:cat>
          <c:val>
            <c:numRef>
              <c:f>Sheet1!$B$5:$B$8</c:f>
              <c:numCache>
                <c:formatCode>General</c:formatCode>
                <c:ptCount val="4"/>
                <c:pt idx="0">
                  <c:v>6.6</c:v>
                </c:pt>
                <c:pt idx="1">
                  <c:v>6.25</c:v>
                </c:pt>
                <c:pt idx="2">
                  <c:v>5.7</c:v>
                </c:pt>
                <c:pt idx="3">
                  <c:v>5.01</c:v>
                </c:pt>
              </c:numCache>
            </c:numRef>
          </c:val>
        </c:ser>
        <c:ser>
          <c:idx val="1"/>
          <c:order val="1"/>
          <c:tx>
            <c:strRef>
              <c:f>Sheet1!$C$4</c:f>
              <c:strCache>
                <c:ptCount val="1"/>
                <c:pt idx="0">
                  <c:v>2 (Lactoserum)</c:v>
                </c:pt>
              </c:strCache>
            </c:strRef>
          </c:tx>
          <c:spPr>
            <a:ln w="12700">
              <a:solidFill>
                <a:srgbClr val="FF9900"/>
              </a:solidFill>
            </a:ln>
          </c:spPr>
          <c:marker>
            <c:symbol val="square"/>
            <c:size val="4"/>
            <c:spPr>
              <a:solidFill>
                <a:srgbClr val="FF9900"/>
              </a:solidFill>
              <a:ln>
                <a:solidFill>
                  <a:srgbClr val="FF9900"/>
                </a:solidFill>
              </a:ln>
            </c:spPr>
          </c:marker>
          <c:errBars>
            <c:errDir val="y"/>
            <c:errBarType val="both"/>
            <c:errValType val="cust"/>
            <c:plus>
              <c:numRef>
                <c:f>Sheet2!$J$3:$J$6</c:f>
                <c:numCache>
                  <c:formatCode>General</c:formatCode>
                  <c:ptCount val="4"/>
                  <c:pt idx="0">
                    <c:v>3.5999999999999997E-2</c:v>
                  </c:pt>
                  <c:pt idx="1">
                    <c:v>3.0000000000000002E-2</c:v>
                  </c:pt>
                  <c:pt idx="2">
                    <c:v>3.7999999999999999E-2</c:v>
                  </c:pt>
                  <c:pt idx="3">
                    <c:v>3.6999999999999998E-2</c:v>
                  </c:pt>
                </c:numCache>
              </c:numRef>
            </c:plus>
            <c:minus>
              <c:numRef>
                <c:f>Sheet2!$J$3:$J$6</c:f>
                <c:numCache>
                  <c:formatCode>General</c:formatCode>
                  <c:ptCount val="4"/>
                  <c:pt idx="0">
                    <c:v>3.5999999999999997E-2</c:v>
                  </c:pt>
                  <c:pt idx="1">
                    <c:v>3.0000000000000002E-2</c:v>
                  </c:pt>
                  <c:pt idx="2">
                    <c:v>3.7999999999999999E-2</c:v>
                  </c:pt>
                  <c:pt idx="3">
                    <c:v>3.6999999999999998E-2</c:v>
                  </c:pt>
                </c:numCache>
              </c:numRef>
            </c:minus>
          </c:errBars>
          <c:cat>
            <c:strRef>
              <c:f>Sheet1!$A$5:$A$8</c:f>
              <c:strCache>
                <c:ptCount val="4"/>
                <c:pt idx="0">
                  <c:v>T0</c:v>
                </c:pt>
                <c:pt idx="1">
                  <c:v>T1</c:v>
                </c:pt>
                <c:pt idx="2">
                  <c:v>T2</c:v>
                </c:pt>
                <c:pt idx="3">
                  <c:v>T3</c:v>
                </c:pt>
              </c:strCache>
            </c:strRef>
          </c:cat>
          <c:val>
            <c:numRef>
              <c:f>Sheet1!$C$5:$C$8</c:f>
              <c:numCache>
                <c:formatCode>General</c:formatCode>
                <c:ptCount val="4"/>
                <c:pt idx="0">
                  <c:v>6.2700000000000014</c:v>
                </c:pt>
                <c:pt idx="1">
                  <c:v>5.83</c:v>
                </c:pt>
                <c:pt idx="2">
                  <c:v>5.2700000000000014</c:v>
                </c:pt>
                <c:pt idx="3">
                  <c:v>4.9800000000000004</c:v>
                </c:pt>
              </c:numCache>
            </c:numRef>
          </c:val>
        </c:ser>
        <c:ser>
          <c:idx val="2"/>
          <c:order val="2"/>
          <c:tx>
            <c:strRef>
              <c:f>Sheet1!$D$4</c:f>
              <c:strCache>
                <c:ptCount val="1"/>
                <c:pt idx="0">
                  <c:v>3 (Promilk)</c:v>
                </c:pt>
              </c:strCache>
            </c:strRef>
          </c:tx>
          <c:spPr>
            <a:ln w="12700"/>
          </c:spPr>
          <c:errBars>
            <c:errDir val="y"/>
            <c:errBarType val="both"/>
            <c:errValType val="cust"/>
            <c:plus>
              <c:numRef>
                <c:f>Sheet1!$I$7:$M$7</c:f>
                <c:numCache>
                  <c:formatCode>General</c:formatCode>
                  <c:ptCount val="5"/>
                  <c:pt idx="0">
                    <c:v>2.8000000000000001E-2</c:v>
                  </c:pt>
                  <c:pt idx="1">
                    <c:v>3.7999999999999999E-2</c:v>
                  </c:pt>
                  <c:pt idx="2">
                    <c:v>3.3000000000000002E-2</c:v>
                  </c:pt>
                  <c:pt idx="3">
                    <c:v>3.5999999999999997E-2</c:v>
                  </c:pt>
                  <c:pt idx="4">
                    <c:v>3.6999999999999998E-2</c:v>
                  </c:pt>
                </c:numCache>
              </c:numRef>
            </c:plus>
            <c:minus>
              <c:numRef>
                <c:f>Sheet1!$I$7:$M$7</c:f>
                <c:numCache>
                  <c:formatCode>General</c:formatCode>
                  <c:ptCount val="5"/>
                  <c:pt idx="0">
                    <c:v>2.8000000000000001E-2</c:v>
                  </c:pt>
                  <c:pt idx="1">
                    <c:v>3.7999999999999999E-2</c:v>
                  </c:pt>
                  <c:pt idx="2">
                    <c:v>3.3000000000000002E-2</c:v>
                  </c:pt>
                  <c:pt idx="3">
                    <c:v>3.5999999999999997E-2</c:v>
                  </c:pt>
                  <c:pt idx="4">
                    <c:v>3.6999999999999998E-2</c:v>
                  </c:pt>
                </c:numCache>
              </c:numRef>
            </c:minus>
          </c:errBars>
          <c:cat>
            <c:strRef>
              <c:f>Sheet1!$A$5:$A$8</c:f>
              <c:strCache>
                <c:ptCount val="4"/>
                <c:pt idx="0">
                  <c:v>T0</c:v>
                </c:pt>
                <c:pt idx="1">
                  <c:v>T1</c:v>
                </c:pt>
                <c:pt idx="2">
                  <c:v>T2</c:v>
                </c:pt>
                <c:pt idx="3">
                  <c:v>T3</c:v>
                </c:pt>
              </c:strCache>
            </c:strRef>
          </c:cat>
          <c:val>
            <c:numRef>
              <c:f>Sheet1!$D$5:$D$8</c:f>
              <c:numCache>
                <c:formatCode>General</c:formatCode>
                <c:ptCount val="4"/>
                <c:pt idx="0">
                  <c:v>6.55</c:v>
                </c:pt>
                <c:pt idx="1">
                  <c:v>6.08</c:v>
                </c:pt>
                <c:pt idx="2">
                  <c:v>5.4300000000000024</c:v>
                </c:pt>
                <c:pt idx="3">
                  <c:v>4.96</c:v>
                </c:pt>
              </c:numCache>
            </c:numRef>
          </c:val>
        </c:ser>
        <c:ser>
          <c:idx val="3"/>
          <c:order val="3"/>
          <c:tx>
            <c:strRef>
              <c:f>Sheet1!$E$4</c:f>
              <c:strCache>
                <c:ptCount val="1"/>
                <c:pt idx="0">
                  <c:v>4 (H. Caseine)</c:v>
                </c:pt>
              </c:strCache>
            </c:strRef>
          </c:tx>
          <c:spPr>
            <a:ln w="12700">
              <a:solidFill>
                <a:srgbClr val="990099"/>
              </a:solidFill>
            </a:ln>
          </c:spPr>
          <c:marker>
            <c:spPr>
              <a:solidFill>
                <a:srgbClr val="990099"/>
              </a:solidFill>
              <a:ln>
                <a:solidFill>
                  <a:srgbClr val="990099"/>
                </a:solidFill>
              </a:ln>
            </c:spPr>
          </c:marker>
          <c:errBars>
            <c:errDir val="y"/>
            <c:errBarType val="both"/>
            <c:errValType val="cust"/>
            <c:plus>
              <c:numRef>
                <c:f>Sheet1!$I$8:$M$8</c:f>
                <c:numCache>
                  <c:formatCode>General</c:formatCode>
                  <c:ptCount val="5"/>
                  <c:pt idx="0">
                    <c:v>4.3999999999999997E-2</c:v>
                  </c:pt>
                  <c:pt idx="1">
                    <c:v>3.6999999999999998E-2</c:v>
                  </c:pt>
                  <c:pt idx="2">
                    <c:v>2.3E-2</c:v>
                  </c:pt>
                  <c:pt idx="3">
                    <c:v>5.3999999999999999E-2</c:v>
                  </c:pt>
                  <c:pt idx="4">
                    <c:v>3.6999999999999998E-2</c:v>
                  </c:pt>
                </c:numCache>
              </c:numRef>
            </c:plus>
            <c:minus>
              <c:numRef>
                <c:f>Sheet1!$I$8:$M$8</c:f>
                <c:numCache>
                  <c:formatCode>General</c:formatCode>
                  <c:ptCount val="5"/>
                  <c:pt idx="0">
                    <c:v>4.3999999999999997E-2</c:v>
                  </c:pt>
                  <c:pt idx="1">
                    <c:v>3.6999999999999998E-2</c:v>
                  </c:pt>
                  <c:pt idx="2">
                    <c:v>2.3E-2</c:v>
                  </c:pt>
                  <c:pt idx="3">
                    <c:v>5.3999999999999999E-2</c:v>
                  </c:pt>
                  <c:pt idx="4">
                    <c:v>3.6999999999999998E-2</c:v>
                  </c:pt>
                </c:numCache>
              </c:numRef>
            </c:minus>
          </c:errBars>
          <c:cat>
            <c:strRef>
              <c:f>Sheet1!$A$5:$A$8</c:f>
              <c:strCache>
                <c:ptCount val="4"/>
                <c:pt idx="0">
                  <c:v>T0</c:v>
                </c:pt>
                <c:pt idx="1">
                  <c:v>T1</c:v>
                </c:pt>
                <c:pt idx="2">
                  <c:v>T2</c:v>
                </c:pt>
                <c:pt idx="3">
                  <c:v>T3</c:v>
                </c:pt>
              </c:strCache>
            </c:strRef>
          </c:cat>
          <c:val>
            <c:numRef>
              <c:f>Sheet1!$E$5:$E$8</c:f>
              <c:numCache>
                <c:formatCode>General</c:formatCode>
                <c:ptCount val="4"/>
                <c:pt idx="0">
                  <c:v>6.55</c:v>
                </c:pt>
                <c:pt idx="1">
                  <c:v>6.13</c:v>
                </c:pt>
                <c:pt idx="2">
                  <c:v>5.59</c:v>
                </c:pt>
                <c:pt idx="3">
                  <c:v>4.9700000000000024</c:v>
                </c:pt>
              </c:numCache>
            </c:numRef>
          </c:val>
        </c:ser>
        <c:ser>
          <c:idx val="4"/>
          <c:order val="4"/>
          <c:tx>
            <c:strRef>
              <c:f>Sheet1!$F$4</c:f>
              <c:strCache>
                <c:ptCount val="1"/>
                <c:pt idx="0">
                  <c:v>5 (H. Proteine)</c:v>
                </c:pt>
              </c:strCache>
            </c:strRef>
          </c:tx>
          <c:spPr>
            <a:ln w="12700">
              <a:solidFill>
                <a:srgbClr val="FF33CC"/>
              </a:solidFill>
            </a:ln>
          </c:spPr>
          <c:marker>
            <c:symbol val="circle"/>
            <c:size val="4"/>
            <c:spPr>
              <a:solidFill>
                <a:srgbClr val="FF33CC"/>
              </a:solidFill>
              <a:ln>
                <a:solidFill>
                  <a:srgbClr val="FF33CC"/>
                </a:solidFill>
              </a:ln>
            </c:spPr>
          </c:marker>
          <c:errBars>
            <c:errDir val="y"/>
            <c:errBarType val="both"/>
            <c:errValType val="cust"/>
            <c:plus>
              <c:numRef>
                <c:f>Sheet2!$M$3:$M$6</c:f>
                <c:numCache>
                  <c:formatCode>General</c:formatCode>
                  <c:ptCount val="4"/>
                  <c:pt idx="0">
                    <c:v>0.05</c:v>
                  </c:pt>
                  <c:pt idx="1">
                    <c:v>6.7000000000000004E-2</c:v>
                  </c:pt>
                  <c:pt idx="2">
                    <c:v>3.6999999999999998E-2</c:v>
                  </c:pt>
                  <c:pt idx="3">
                    <c:v>3.6999999999999998E-2</c:v>
                  </c:pt>
                </c:numCache>
              </c:numRef>
            </c:plus>
            <c:minus>
              <c:numRef>
                <c:f>Sheet2!$M$3:$M$6</c:f>
                <c:numCache>
                  <c:formatCode>General</c:formatCode>
                  <c:ptCount val="4"/>
                  <c:pt idx="0">
                    <c:v>0.05</c:v>
                  </c:pt>
                  <c:pt idx="1">
                    <c:v>6.7000000000000004E-2</c:v>
                  </c:pt>
                  <c:pt idx="2">
                    <c:v>3.6999999999999998E-2</c:v>
                  </c:pt>
                  <c:pt idx="3">
                    <c:v>3.6999999999999998E-2</c:v>
                  </c:pt>
                </c:numCache>
              </c:numRef>
            </c:minus>
            <c:spPr>
              <a:ln w="3175">
                <a:solidFill>
                  <a:srgbClr val="000000"/>
                </a:solidFill>
                <a:prstDash val="solid"/>
              </a:ln>
            </c:spPr>
          </c:errBars>
          <c:cat>
            <c:strRef>
              <c:f>Sheet1!$A$5:$A$8</c:f>
              <c:strCache>
                <c:ptCount val="4"/>
                <c:pt idx="0">
                  <c:v>T0</c:v>
                </c:pt>
                <c:pt idx="1">
                  <c:v>T1</c:v>
                </c:pt>
                <c:pt idx="2">
                  <c:v>T2</c:v>
                </c:pt>
                <c:pt idx="3">
                  <c:v>T3</c:v>
                </c:pt>
              </c:strCache>
            </c:strRef>
          </c:cat>
          <c:val>
            <c:numRef>
              <c:f>Sheet1!$F$5:$F$8</c:f>
              <c:numCache>
                <c:formatCode>General</c:formatCode>
                <c:ptCount val="4"/>
                <c:pt idx="0">
                  <c:v>6.54</c:v>
                </c:pt>
                <c:pt idx="1">
                  <c:v>6.02</c:v>
                </c:pt>
                <c:pt idx="2">
                  <c:v>5.44</c:v>
                </c:pt>
                <c:pt idx="3">
                  <c:v>4.96</c:v>
                </c:pt>
              </c:numCache>
            </c:numRef>
          </c:val>
        </c:ser>
        <c:marker val="1"/>
        <c:axId val="59784576"/>
        <c:axId val="59799040"/>
      </c:lineChart>
      <c:catAx>
        <c:axId val="59784576"/>
        <c:scaling>
          <c:orientation val="minMax"/>
        </c:scaling>
        <c:axPos val="b"/>
        <c:title>
          <c:tx>
            <c:rich>
              <a:bodyPr/>
              <a:lstStyle/>
              <a:p>
                <a:pPr>
                  <a:defRPr/>
                </a:pPr>
                <a:r>
                  <a:rPr lang="en-US"/>
                  <a:t>Temps (h)</a:t>
                </a:r>
              </a:p>
            </c:rich>
          </c:tx>
          <c:layout>
            <c:manualLayout>
              <c:xMode val="edge"/>
              <c:yMode val="edge"/>
              <c:x val="0.41240437158470278"/>
              <c:y val="0.91407407407407826"/>
            </c:manualLayout>
          </c:layout>
        </c:title>
        <c:numFmt formatCode="General" sourceLinked="1"/>
        <c:tickLblPos val="nextTo"/>
        <c:spPr>
          <a:ln>
            <a:solidFill>
              <a:sysClr val="windowText" lastClr="000000"/>
            </a:solidFill>
          </a:ln>
        </c:spPr>
        <c:txPr>
          <a:bodyPr/>
          <a:lstStyle/>
          <a:p>
            <a:pPr>
              <a:defRPr b="1" i="0" baseline="0"/>
            </a:pPr>
            <a:endParaRPr lang="fr-FR"/>
          </a:p>
        </c:txPr>
        <c:crossAx val="59799040"/>
        <c:crosses val="autoZero"/>
        <c:auto val="1"/>
        <c:lblAlgn val="ctr"/>
        <c:lblOffset val="100"/>
      </c:catAx>
      <c:valAx>
        <c:axId val="59799040"/>
        <c:scaling>
          <c:orientation val="minMax"/>
          <c:max val="7"/>
          <c:min val="4.5"/>
        </c:scaling>
        <c:axPos val="l"/>
        <c:title>
          <c:tx>
            <c:rich>
              <a:bodyPr rot="-5400000" vert="horz"/>
              <a:lstStyle/>
              <a:p>
                <a:pPr>
                  <a:defRPr/>
                </a:pPr>
                <a:r>
                  <a:rPr lang="en-US"/>
                  <a:t>pH</a:t>
                </a:r>
              </a:p>
            </c:rich>
          </c:tx>
          <c:layout/>
        </c:title>
        <c:numFmt formatCode="General" sourceLinked="1"/>
        <c:tickLblPos val="nextTo"/>
        <c:spPr>
          <a:ln>
            <a:solidFill>
              <a:sysClr val="windowText" lastClr="000000"/>
            </a:solidFill>
          </a:ln>
        </c:spPr>
        <c:txPr>
          <a:bodyPr/>
          <a:lstStyle/>
          <a:p>
            <a:pPr>
              <a:defRPr b="1" i="0" baseline="0"/>
            </a:pPr>
            <a:endParaRPr lang="fr-FR"/>
          </a:p>
        </c:txPr>
        <c:crossAx val="59784576"/>
        <c:crosses val="autoZero"/>
        <c:crossBetween val="midCat"/>
        <c:majorUnit val="0.5"/>
      </c:valAx>
      <c:spPr>
        <a:ln>
          <a:solidFill>
            <a:schemeClr val="bg1"/>
          </a:solidFill>
        </a:ln>
      </c:spPr>
    </c:plotArea>
    <c:plotVisOnly val="1"/>
    <c:dispBlanksAs val="gap"/>
  </c:chart>
  <c:spPr>
    <a:ln>
      <a:solidFill>
        <a:schemeClr val="bg1"/>
      </a:solidFill>
    </a:ln>
  </c:spPr>
  <c:txPr>
    <a:bodyPr/>
    <a:lstStyle/>
    <a:p>
      <a:pPr>
        <a:defRPr>
          <a:latin typeface="Times New Roman" pitchFamily="18" charset="0"/>
          <a:cs typeface="Times New Roman" pitchFamily="18" charset="0"/>
        </a:defRPr>
      </a:pPr>
      <a:endParaRPr lang="fr-FR"/>
    </a:p>
  </c:txPr>
  <c:externalData r:id="rId1"/>
  <c:userShapes r:id="rId2"/>
</c:chartSpace>
</file>

<file path=word/charts/chart16.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a:pPr>
            <a:r>
              <a:rPr lang="fr-FR" sz="1800">
                <a:latin typeface="Times New Roman" pitchFamily="18" charset="0"/>
                <a:cs typeface="Times New Roman" pitchFamily="18" charset="0"/>
              </a:rPr>
              <a:t>D</a:t>
            </a:r>
          </a:p>
        </c:rich>
      </c:tx>
      <c:layout>
        <c:manualLayout>
          <c:xMode val="edge"/>
          <c:yMode val="edge"/>
          <c:x val="1.6690510252741781E-3"/>
          <c:y val="0"/>
        </c:manualLayout>
      </c:layout>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24405926283284646"/>
          <c:y val="0.11709925148245375"/>
          <c:w val="0.66463665544904116"/>
          <c:h val="0.70116714134137459"/>
        </c:manualLayout>
      </c:layout>
      <c:lineChart>
        <c:grouping val="standard"/>
        <c:ser>
          <c:idx val="0"/>
          <c:order val="0"/>
          <c:tx>
            <c:strRef>
              <c:f>Sheet2!$B$67</c:f>
              <c:strCache>
                <c:ptCount val="1"/>
                <c:pt idx="0">
                  <c:v>1 (Temoin)</c:v>
                </c:pt>
              </c:strCache>
            </c:strRef>
          </c:tx>
          <c:spPr>
            <a:ln w="12700"/>
          </c:spPr>
          <c:errBars>
            <c:errDir val="y"/>
            <c:errBarType val="both"/>
            <c:errValType val="cust"/>
            <c:plus>
              <c:numRef>
                <c:f>Sheet1!$I$29:$M$29</c:f>
                <c:numCache>
                  <c:formatCode>General</c:formatCode>
                  <c:ptCount val="5"/>
                  <c:pt idx="0">
                    <c:v>1.7999999999999999E-2</c:v>
                  </c:pt>
                  <c:pt idx="1">
                    <c:v>3.6999999999999998E-2</c:v>
                  </c:pt>
                  <c:pt idx="2">
                    <c:v>3.3000000000000002E-2</c:v>
                  </c:pt>
                  <c:pt idx="3">
                    <c:v>4.8000000000000001E-2</c:v>
                  </c:pt>
                  <c:pt idx="4">
                    <c:v>3.0000000000000002E-2</c:v>
                  </c:pt>
                </c:numCache>
              </c:numRef>
            </c:plus>
            <c:minus>
              <c:numRef>
                <c:f>Sheet1!$I$29:$M$29</c:f>
                <c:numCache>
                  <c:formatCode>General</c:formatCode>
                  <c:ptCount val="5"/>
                  <c:pt idx="0">
                    <c:v>1.7999999999999999E-2</c:v>
                  </c:pt>
                  <c:pt idx="1">
                    <c:v>3.6999999999999998E-2</c:v>
                  </c:pt>
                  <c:pt idx="2">
                    <c:v>3.3000000000000002E-2</c:v>
                  </c:pt>
                  <c:pt idx="3">
                    <c:v>4.8000000000000001E-2</c:v>
                  </c:pt>
                  <c:pt idx="4">
                    <c:v>3.0000000000000002E-2</c:v>
                  </c:pt>
                </c:numCache>
              </c:numRef>
            </c:minus>
          </c:errBars>
          <c:cat>
            <c:strRef>
              <c:f>Sheet2!$A$68:$A$71</c:f>
              <c:strCache>
                <c:ptCount val="4"/>
                <c:pt idx="0">
                  <c:v>T0</c:v>
                </c:pt>
                <c:pt idx="1">
                  <c:v>T1</c:v>
                </c:pt>
                <c:pt idx="2">
                  <c:v>T2</c:v>
                </c:pt>
                <c:pt idx="3">
                  <c:v> T3</c:v>
                </c:pt>
              </c:strCache>
            </c:strRef>
          </c:cat>
          <c:val>
            <c:numRef>
              <c:f>Sheet2!$B$68:$B$71</c:f>
              <c:numCache>
                <c:formatCode>General</c:formatCode>
                <c:ptCount val="4"/>
                <c:pt idx="0">
                  <c:v>6.99</c:v>
                </c:pt>
                <c:pt idx="1">
                  <c:v>7.98</c:v>
                </c:pt>
                <c:pt idx="2">
                  <c:v>8.7100000000000009</c:v>
                </c:pt>
                <c:pt idx="3">
                  <c:v>9.51</c:v>
                </c:pt>
              </c:numCache>
            </c:numRef>
          </c:val>
        </c:ser>
        <c:ser>
          <c:idx val="1"/>
          <c:order val="1"/>
          <c:tx>
            <c:strRef>
              <c:f>Sheet2!$C$67</c:f>
              <c:strCache>
                <c:ptCount val="1"/>
                <c:pt idx="0">
                  <c:v>2 (Lactoserum)</c:v>
                </c:pt>
              </c:strCache>
            </c:strRef>
          </c:tx>
          <c:spPr>
            <a:ln w="12700">
              <a:solidFill>
                <a:srgbClr val="FF9900"/>
              </a:solidFill>
            </a:ln>
          </c:spPr>
          <c:marker>
            <c:symbol val="square"/>
            <c:size val="4"/>
            <c:spPr>
              <a:solidFill>
                <a:srgbClr val="FF9900"/>
              </a:solidFill>
              <a:ln>
                <a:solidFill>
                  <a:srgbClr val="FF9900"/>
                </a:solidFill>
              </a:ln>
            </c:spPr>
          </c:marker>
          <c:errBars>
            <c:errDir val="y"/>
            <c:errBarType val="both"/>
            <c:errValType val="cust"/>
            <c:plus>
              <c:numRef>
                <c:f>Sheet2!$M$68:$M$71</c:f>
                <c:numCache>
                  <c:formatCode>General</c:formatCode>
                  <c:ptCount val="4"/>
                  <c:pt idx="0">
                    <c:v>3.0000000000000002E-2</c:v>
                  </c:pt>
                  <c:pt idx="1">
                    <c:v>2.5999999999999999E-2</c:v>
                  </c:pt>
                  <c:pt idx="2">
                    <c:v>4.0000000000000022E-2</c:v>
                  </c:pt>
                  <c:pt idx="3">
                    <c:v>4.5000000000000012E-2</c:v>
                  </c:pt>
                </c:numCache>
              </c:numRef>
            </c:plus>
            <c:minus>
              <c:numRef>
                <c:f>Sheet2!$M$68:$M$71</c:f>
                <c:numCache>
                  <c:formatCode>General</c:formatCode>
                  <c:ptCount val="4"/>
                  <c:pt idx="0">
                    <c:v>3.0000000000000002E-2</c:v>
                  </c:pt>
                  <c:pt idx="1">
                    <c:v>2.5999999999999999E-2</c:v>
                  </c:pt>
                  <c:pt idx="2">
                    <c:v>4.0000000000000022E-2</c:v>
                  </c:pt>
                  <c:pt idx="3">
                    <c:v>4.5000000000000012E-2</c:v>
                  </c:pt>
                </c:numCache>
              </c:numRef>
            </c:minus>
          </c:errBars>
          <c:cat>
            <c:strRef>
              <c:f>Sheet2!$A$68:$A$71</c:f>
              <c:strCache>
                <c:ptCount val="4"/>
                <c:pt idx="0">
                  <c:v>T0</c:v>
                </c:pt>
                <c:pt idx="1">
                  <c:v>T1</c:v>
                </c:pt>
                <c:pt idx="2">
                  <c:v>T2</c:v>
                </c:pt>
                <c:pt idx="3">
                  <c:v> T3</c:v>
                </c:pt>
              </c:strCache>
            </c:strRef>
          </c:cat>
          <c:val>
            <c:numRef>
              <c:f>Sheet2!$C$68:$C$71</c:f>
              <c:numCache>
                <c:formatCode>General</c:formatCode>
                <c:ptCount val="4"/>
                <c:pt idx="0">
                  <c:v>6.98</c:v>
                </c:pt>
                <c:pt idx="1">
                  <c:v>8.6</c:v>
                </c:pt>
                <c:pt idx="2">
                  <c:v>9.0300000000000011</c:v>
                </c:pt>
                <c:pt idx="3">
                  <c:v>10.43</c:v>
                </c:pt>
              </c:numCache>
            </c:numRef>
          </c:val>
        </c:ser>
        <c:ser>
          <c:idx val="2"/>
          <c:order val="2"/>
          <c:tx>
            <c:strRef>
              <c:f>Sheet2!$D$67</c:f>
              <c:strCache>
                <c:ptCount val="1"/>
                <c:pt idx="0">
                  <c:v>3 (Promilk)</c:v>
                </c:pt>
              </c:strCache>
            </c:strRef>
          </c:tx>
          <c:spPr>
            <a:ln w="12700">
              <a:solidFill>
                <a:srgbClr val="92D050"/>
              </a:solidFill>
            </a:ln>
          </c:spPr>
          <c:marker>
            <c:spPr>
              <a:solidFill>
                <a:srgbClr val="92D050"/>
              </a:solidFill>
              <a:ln>
                <a:solidFill>
                  <a:srgbClr val="92D050"/>
                </a:solidFill>
              </a:ln>
            </c:spPr>
          </c:marker>
          <c:errBars>
            <c:errDir val="y"/>
            <c:errBarType val="both"/>
            <c:errValType val="cust"/>
            <c:plus>
              <c:numRef>
                <c:f>Sheet1!$I$31:$M$31</c:f>
                <c:numCache>
                  <c:formatCode>General</c:formatCode>
                  <c:ptCount val="5"/>
                  <c:pt idx="0">
                    <c:v>2.7000000000000191E-2</c:v>
                  </c:pt>
                  <c:pt idx="1">
                    <c:v>3.1000000000000052E-2</c:v>
                  </c:pt>
                  <c:pt idx="2">
                    <c:v>2.1999999999999999E-2</c:v>
                  </c:pt>
                  <c:pt idx="3">
                    <c:v>3.3000000000000002E-2</c:v>
                  </c:pt>
                  <c:pt idx="4">
                    <c:v>4.0000000000000022E-2</c:v>
                  </c:pt>
                </c:numCache>
              </c:numRef>
            </c:plus>
            <c:minus>
              <c:numRef>
                <c:f>Sheet1!$I$32:$M$32</c:f>
                <c:numCache>
                  <c:formatCode>General</c:formatCode>
                  <c:ptCount val="5"/>
                  <c:pt idx="0">
                    <c:v>3.3000000000000002E-2</c:v>
                  </c:pt>
                  <c:pt idx="1">
                    <c:v>2.5999999999999999E-2</c:v>
                  </c:pt>
                  <c:pt idx="2">
                    <c:v>3.9000000000000014E-2</c:v>
                  </c:pt>
                  <c:pt idx="3">
                    <c:v>2.7000000000000191E-2</c:v>
                  </c:pt>
                  <c:pt idx="4">
                    <c:v>4.5000000000000012E-2</c:v>
                  </c:pt>
                </c:numCache>
              </c:numRef>
            </c:minus>
          </c:errBars>
          <c:cat>
            <c:strRef>
              <c:f>Sheet2!$A$68:$A$71</c:f>
              <c:strCache>
                <c:ptCount val="4"/>
                <c:pt idx="0">
                  <c:v>T0</c:v>
                </c:pt>
                <c:pt idx="1">
                  <c:v>T1</c:v>
                </c:pt>
                <c:pt idx="2">
                  <c:v>T2</c:v>
                </c:pt>
                <c:pt idx="3">
                  <c:v> T3</c:v>
                </c:pt>
              </c:strCache>
            </c:strRef>
          </c:cat>
          <c:val>
            <c:numRef>
              <c:f>Sheet2!$D$68:$D$71</c:f>
              <c:numCache>
                <c:formatCode>General</c:formatCode>
                <c:ptCount val="4"/>
                <c:pt idx="0">
                  <c:v>6.96</c:v>
                </c:pt>
                <c:pt idx="1">
                  <c:v>8.07</c:v>
                </c:pt>
                <c:pt idx="2">
                  <c:v>8.84</c:v>
                </c:pt>
                <c:pt idx="3">
                  <c:v>9.73</c:v>
                </c:pt>
              </c:numCache>
            </c:numRef>
          </c:val>
        </c:ser>
        <c:ser>
          <c:idx val="3"/>
          <c:order val="3"/>
          <c:tx>
            <c:strRef>
              <c:f>Sheet2!$E$67</c:f>
              <c:strCache>
                <c:ptCount val="1"/>
                <c:pt idx="0">
                  <c:v>4 (H. Caseine)</c:v>
                </c:pt>
              </c:strCache>
            </c:strRef>
          </c:tx>
          <c:spPr>
            <a:ln w="12700">
              <a:solidFill>
                <a:srgbClr val="990099"/>
              </a:solidFill>
            </a:ln>
          </c:spPr>
          <c:marker>
            <c:spPr>
              <a:solidFill>
                <a:srgbClr val="990099"/>
              </a:solidFill>
              <a:ln>
                <a:solidFill>
                  <a:srgbClr val="990099"/>
                </a:solidFill>
              </a:ln>
            </c:spPr>
          </c:marker>
          <c:errBars>
            <c:errDir val="y"/>
            <c:errBarType val="both"/>
            <c:errValType val="cust"/>
            <c:plus>
              <c:numRef>
                <c:f>Sheet1!$I$32:$M$32</c:f>
                <c:numCache>
                  <c:formatCode>General</c:formatCode>
                  <c:ptCount val="5"/>
                  <c:pt idx="0">
                    <c:v>3.3000000000000002E-2</c:v>
                  </c:pt>
                  <c:pt idx="1">
                    <c:v>2.5999999999999999E-2</c:v>
                  </c:pt>
                  <c:pt idx="2">
                    <c:v>3.9000000000000014E-2</c:v>
                  </c:pt>
                  <c:pt idx="3">
                    <c:v>2.7000000000000191E-2</c:v>
                  </c:pt>
                  <c:pt idx="4">
                    <c:v>4.5000000000000012E-2</c:v>
                  </c:pt>
                </c:numCache>
              </c:numRef>
            </c:plus>
            <c:minus>
              <c:numRef>
                <c:f>Sheet1!$I$32:$M$32</c:f>
                <c:numCache>
                  <c:formatCode>General</c:formatCode>
                  <c:ptCount val="5"/>
                  <c:pt idx="0">
                    <c:v>3.3000000000000002E-2</c:v>
                  </c:pt>
                  <c:pt idx="1">
                    <c:v>2.5999999999999999E-2</c:v>
                  </c:pt>
                  <c:pt idx="2">
                    <c:v>3.9000000000000014E-2</c:v>
                  </c:pt>
                  <c:pt idx="3">
                    <c:v>2.7000000000000191E-2</c:v>
                  </c:pt>
                  <c:pt idx="4">
                    <c:v>4.5000000000000012E-2</c:v>
                  </c:pt>
                </c:numCache>
              </c:numRef>
            </c:minus>
          </c:errBars>
          <c:cat>
            <c:strRef>
              <c:f>Sheet2!$A$68:$A$71</c:f>
              <c:strCache>
                <c:ptCount val="4"/>
                <c:pt idx="0">
                  <c:v>T0</c:v>
                </c:pt>
                <c:pt idx="1">
                  <c:v>T1</c:v>
                </c:pt>
                <c:pt idx="2">
                  <c:v>T2</c:v>
                </c:pt>
                <c:pt idx="3">
                  <c:v> T3</c:v>
                </c:pt>
              </c:strCache>
            </c:strRef>
          </c:cat>
          <c:val>
            <c:numRef>
              <c:f>Sheet2!$E$68:$E$71</c:f>
              <c:numCache>
                <c:formatCode>General</c:formatCode>
                <c:ptCount val="4"/>
                <c:pt idx="0">
                  <c:v>6.96</c:v>
                </c:pt>
                <c:pt idx="1">
                  <c:v>8.2100000000000009</c:v>
                </c:pt>
                <c:pt idx="2">
                  <c:v>9.0400000000000009</c:v>
                </c:pt>
                <c:pt idx="3">
                  <c:v>9.93</c:v>
                </c:pt>
              </c:numCache>
            </c:numRef>
          </c:val>
        </c:ser>
        <c:ser>
          <c:idx val="4"/>
          <c:order val="4"/>
          <c:tx>
            <c:strRef>
              <c:f>Sheet2!$F$67</c:f>
              <c:strCache>
                <c:ptCount val="1"/>
                <c:pt idx="0">
                  <c:v>5 (H. Proteine)</c:v>
                </c:pt>
              </c:strCache>
            </c:strRef>
          </c:tx>
          <c:spPr>
            <a:ln w="12700">
              <a:solidFill>
                <a:srgbClr val="FF33CC"/>
              </a:solidFill>
            </a:ln>
          </c:spPr>
          <c:marker>
            <c:symbol val="circle"/>
            <c:size val="4"/>
            <c:spPr>
              <a:solidFill>
                <a:srgbClr val="FF33CC"/>
              </a:solidFill>
              <a:ln>
                <a:solidFill>
                  <a:srgbClr val="FF33CC"/>
                </a:solidFill>
              </a:ln>
            </c:spPr>
          </c:marker>
          <c:cat>
            <c:strRef>
              <c:f>Sheet2!$A$68:$A$71</c:f>
              <c:strCache>
                <c:ptCount val="4"/>
                <c:pt idx="0">
                  <c:v>T0</c:v>
                </c:pt>
                <c:pt idx="1">
                  <c:v>T1</c:v>
                </c:pt>
                <c:pt idx="2">
                  <c:v>T2</c:v>
                </c:pt>
                <c:pt idx="3">
                  <c:v> T3</c:v>
                </c:pt>
              </c:strCache>
            </c:strRef>
          </c:cat>
          <c:val>
            <c:numRef>
              <c:f>Sheet2!$F$68:$F$71</c:f>
              <c:numCache>
                <c:formatCode>General</c:formatCode>
                <c:ptCount val="4"/>
                <c:pt idx="0">
                  <c:v>6.9700000000000024</c:v>
                </c:pt>
                <c:pt idx="1">
                  <c:v>8.34</c:v>
                </c:pt>
                <c:pt idx="2">
                  <c:v>9.17</c:v>
                </c:pt>
                <c:pt idx="3">
                  <c:v>10.11</c:v>
                </c:pt>
              </c:numCache>
            </c:numRef>
          </c:val>
        </c:ser>
        <c:marker val="1"/>
        <c:axId val="59971840"/>
        <c:axId val="59994880"/>
      </c:lineChart>
      <c:catAx>
        <c:axId val="59971840"/>
        <c:scaling>
          <c:orientation val="minMax"/>
        </c:scaling>
        <c:axPos val="b"/>
        <c:title>
          <c:tx>
            <c:rich>
              <a:bodyPr/>
              <a:lstStyle/>
              <a:p>
                <a:pPr>
                  <a:defRPr sz="1000" b="1" i="0" u="none" strike="noStrike" baseline="0">
                    <a:solidFill>
                      <a:srgbClr val="000000"/>
                    </a:solidFill>
                    <a:latin typeface="Times New Roman"/>
                    <a:ea typeface="Times New Roman"/>
                    <a:cs typeface="Times New Roman"/>
                  </a:defRPr>
                </a:pPr>
                <a:r>
                  <a:rPr lang="fr-FR"/>
                  <a:t>Temps (h)</a:t>
                </a:r>
              </a:p>
            </c:rich>
          </c:tx>
          <c:layout>
            <c:manualLayout>
              <c:xMode val="edge"/>
              <c:yMode val="edge"/>
              <c:x val="0.43093211077452231"/>
              <c:y val="0.91773049645390248"/>
            </c:manualLayout>
          </c:layout>
        </c:title>
        <c:numFmt formatCode="General" sourceLinked="1"/>
        <c:tickLblPos val="nextTo"/>
        <c:spPr>
          <a:ln w="9525">
            <a:solidFill>
              <a:schemeClr val="tx1"/>
            </a:solidFill>
          </a:ln>
        </c:spPr>
        <c:txPr>
          <a:bodyPr rot="0" vert="horz"/>
          <a:lstStyle/>
          <a:p>
            <a:pPr>
              <a:defRPr sz="1000" b="1" i="0" u="none" strike="noStrike" baseline="0">
                <a:solidFill>
                  <a:srgbClr val="000000"/>
                </a:solidFill>
                <a:latin typeface="Calibri"/>
                <a:ea typeface="Calibri"/>
                <a:cs typeface="Calibri"/>
              </a:defRPr>
            </a:pPr>
            <a:endParaRPr lang="fr-FR"/>
          </a:p>
        </c:txPr>
        <c:crossAx val="59994880"/>
        <c:crosses val="autoZero"/>
        <c:auto val="1"/>
        <c:lblAlgn val="ctr"/>
        <c:lblOffset val="100"/>
      </c:catAx>
      <c:valAx>
        <c:axId val="59994880"/>
        <c:scaling>
          <c:orientation val="minMax"/>
          <c:max val="10.5"/>
          <c:min val="6.5"/>
        </c:scaling>
        <c:axPos val="l"/>
        <c:title>
          <c:tx>
            <c:rich>
              <a:bodyPr/>
              <a:lstStyle/>
              <a:p>
                <a:pPr>
                  <a:defRPr sz="1000" b="1" i="0" u="none" strike="noStrike" baseline="0">
                    <a:solidFill>
                      <a:srgbClr val="000000"/>
                    </a:solidFill>
                    <a:latin typeface="Times New Roman"/>
                    <a:ea typeface="Times New Roman"/>
                    <a:cs typeface="Times New Roman"/>
                  </a:defRPr>
                </a:pPr>
                <a:r>
                  <a:rPr lang="fr-FR"/>
                  <a:t>log UFC/ml</a:t>
                </a:r>
              </a:p>
            </c:rich>
          </c:tx>
          <c:layout/>
        </c:title>
        <c:numFmt formatCode="General" sourceLinked="1"/>
        <c:tickLblPos val="nextTo"/>
        <c:spPr>
          <a:ln w="9525">
            <a:solidFill>
              <a:schemeClr val="tx1"/>
            </a:solidFill>
          </a:ln>
        </c:spPr>
        <c:txPr>
          <a:bodyPr rot="0" vert="horz"/>
          <a:lstStyle/>
          <a:p>
            <a:pPr>
              <a:defRPr sz="1000" b="1" i="0" u="none" strike="noStrike" baseline="0">
                <a:solidFill>
                  <a:srgbClr val="000000"/>
                </a:solidFill>
                <a:latin typeface="Calibri"/>
                <a:ea typeface="Calibri"/>
                <a:cs typeface="Calibri"/>
              </a:defRPr>
            </a:pPr>
            <a:endParaRPr lang="fr-FR"/>
          </a:p>
        </c:txPr>
        <c:crossAx val="59971840"/>
        <c:crosses val="autoZero"/>
        <c:crossBetween val="midCat"/>
        <c:majorUnit val="0.5"/>
      </c:valAx>
    </c:plotArea>
    <c:plotVisOnly val="1"/>
    <c:dispBlanksAs val="gap"/>
  </c:chart>
  <c:spPr>
    <a:ln>
      <a:solidFill>
        <a:schemeClr val="bg1"/>
      </a:solidFill>
    </a:ln>
  </c:spPr>
  <c:txPr>
    <a:bodyPr/>
    <a:lstStyle/>
    <a:p>
      <a:pPr>
        <a:defRPr sz="1000" b="0" i="0" u="none" strike="noStrike" baseline="0">
          <a:solidFill>
            <a:srgbClr val="000000"/>
          </a:solidFill>
          <a:latin typeface="Calibri"/>
          <a:ea typeface="Calibri"/>
          <a:cs typeface="Calibri"/>
        </a:defRPr>
      </a:pPr>
      <a:endParaRPr lang="fr-FR"/>
    </a:p>
  </c:txPr>
  <c:externalData r:id="rId1"/>
  <c:userShapes r:id="rId2"/>
</c:chartSpace>
</file>

<file path=word/charts/chart17.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a:pPr>
            <a:r>
              <a:rPr lang="fr-FR" sz="1800" b="0">
                <a:latin typeface="Times New Roman" pitchFamily="18" charset="0"/>
                <a:cs typeface="Times New Roman" pitchFamily="18" charset="0"/>
              </a:rPr>
              <a:t>E</a:t>
            </a:r>
          </a:p>
        </c:rich>
      </c:tx>
      <c:layout>
        <c:manualLayout>
          <c:xMode val="edge"/>
          <c:yMode val="edge"/>
          <c:x val="1.8169930924699666E-3"/>
          <c:y val="0"/>
        </c:manualLayout>
      </c:layout>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18570534104923825"/>
          <c:y val="0.12601218839061426"/>
          <c:w val="0.72707164312042416"/>
          <c:h val="0.6837268088270082"/>
        </c:manualLayout>
      </c:layout>
      <c:lineChart>
        <c:grouping val="standard"/>
        <c:ser>
          <c:idx val="0"/>
          <c:order val="0"/>
          <c:tx>
            <c:strRef>
              <c:f>Sheet1!$B$28</c:f>
              <c:strCache>
                <c:ptCount val="1"/>
                <c:pt idx="0">
                  <c:v>1 (Temoin)</c:v>
                </c:pt>
              </c:strCache>
            </c:strRef>
          </c:tx>
          <c:spPr>
            <a:ln w="12700"/>
          </c:spPr>
          <c:errBars>
            <c:errDir val="y"/>
            <c:errBarType val="both"/>
            <c:errValType val="cust"/>
            <c:plus>
              <c:numRef>
                <c:f>Sheet1!$I$29:$M$29</c:f>
                <c:numCache>
                  <c:formatCode>General</c:formatCode>
                  <c:ptCount val="5"/>
                  <c:pt idx="0">
                    <c:v>3.0000000000000002E-2</c:v>
                  </c:pt>
                  <c:pt idx="1">
                    <c:v>2.9000000000000001E-2</c:v>
                  </c:pt>
                  <c:pt idx="2">
                    <c:v>3.1000000000000052E-2</c:v>
                  </c:pt>
                  <c:pt idx="3">
                    <c:v>3.3000000000000002E-2</c:v>
                  </c:pt>
                  <c:pt idx="4">
                    <c:v>2.1000000000000012E-2</c:v>
                  </c:pt>
                </c:numCache>
              </c:numRef>
            </c:plus>
            <c:minus>
              <c:numRef>
                <c:f>Sheet1!$I$29:$M$29</c:f>
                <c:numCache>
                  <c:formatCode>General</c:formatCode>
                  <c:ptCount val="5"/>
                  <c:pt idx="0">
                    <c:v>3.0000000000000002E-2</c:v>
                  </c:pt>
                  <c:pt idx="1">
                    <c:v>2.9000000000000001E-2</c:v>
                  </c:pt>
                  <c:pt idx="2">
                    <c:v>3.1000000000000052E-2</c:v>
                  </c:pt>
                  <c:pt idx="3">
                    <c:v>3.3000000000000002E-2</c:v>
                  </c:pt>
                  <c:pt idx="4">
                    <c:v>2.1000000000000012E-2</c:v>
                  </c:pt>
                </c:numCache>
              </c:numRef>
            </c:minus>
          </c:errBars>
          <c:cat>
            <c:strRef>
              <c:f>Sheet1!$A$29:$A$32</c:f>
              <c:strCache>
                <c:ptCount val="4"/>
                <c:pt idx="0">
                  <c:v>T0</c:v>
                </c:pt>
                <c:pt idx="1">
                  <c:v>T1</c:v>
                </c:pt>
                <c:pt idx="2">
                  <c:v>T2</c:v>
                </c:pt>
                <c:pt idx="3">
                  <c:v> T3</c:v>
                </c:pt>
              </c:strCache>
            </c:strRef>
          </c:cat>
          <c:val>
            <c:numRef>
              <c:f>Sheet1!$B$29:$B$32</c:f>
              <c:numCache>
                <c:formatCode>General</c:formatCode>
                <c:ptCount val="4"/>
                <c:pt idx="0">
                  <c:v>6.96</c:v>
                </c:pt>
                <c:pt idx="1">
                  <c:v>7.96</c:v>
                </c:pt>
                <c:pt idx="2">
                  <c:v>8.39</c:v>
                </c:pt>
                <c:pt idx="3">
                  <c:v>9.07</c:v>
                </c:pt>
              </c:numCache>
            </c:numRef>
          </c:val>
        </c:ser>
        <c:ser>
          <c:idx val="1"/>
          <c:order val="1"/>
          <c:tx>
            <c:strRef>
              <c:f>Sheet1!$C$28</c:f>
              <c:strCache>
                <c:ptCount val="1"/>
                <c:pt idx="0">
                  <c:v>2 (Lactoserum)</c:v>
                </c:pt>
              </c:strCache>
            </c:strRef>
          </c:tx>
          <c:spPr>
            <a:ln w="12700">
              <a:solidFill>
                <a:srgbClr val="FF9900"/>
              </a:solidFill>
            </a:ln>
          </c:spPr>
          <c:marker>
            <c:spPr>
              <a:solidFill>
                <a:srgbClr val="FF9900"/>
              </a:solidFill>
              <a:ln>
                <a:solidFill>
                  <a:srgbClr val="FF9900"/>
                </a:solidFill>
              </a:ln>
            </c:spPr>
          </c:marker>
          <c:errBars>
            <c:errDir val="y"/>
            <c:errBarType val="both"/>
            <c:errValType val="cust"/>
            <c:plus>
              <c:numRef>
                <c:f>Sheet1!$I$30:$M$30</c:f>
                <c:numCache>
                  <c:formatCode>General</c:formatCode>
                  <c:ptCount val="5"/>
                  <c:pt idx="0">
                    <c:v>2.5999999999999999E-2</c:v>
                  </c:pt>
                  <c:pt idx="1">
                    <c:v>2.7000000000000173E-2</c:v>
                  </c:pt>
                  <c:pt idx="2">
                    <c:v>3.2000000000000042E-2</c:v>
                  </c:pt>
                  <c:pt idx="3">
                    <c:v>3.6999999999999998E-2</c:v>
                  </c:pt>
                  <c:pt idx="4">
                    <c:v>2.5000000000000001E-2</c:v>
                  </c:pt>
                </c:numCache>
              </c:numRef>
            </c:plus>
            <c:minus>
              <c:numRef>
                <c:f>Sheet1!$I$30:$M$30</c:f>
                <c:numCache>
                  <c:formatCode>General</c:formatCode>
                  <c:ptCount val="5"/>
                  <c:pt idx="0">
                    <c:v>2.5999999999999999E-2</c:v>
                  </c:pt>
                  <c:pt idx="1">
                    <c:v>2.7000000000000173E-2</c:v>
                  </c:pt>
                  <c:pt idx="2">
                    <c:v>3.2000000000000042E-2</c:v>
                  </c:pt>
                  <c:pt idx="3">
                    <c:v>3.6999999999999998E-2</c:v>
                  </c:pt>
                  <c:pt idx="4">
                    <c:v>2.5000000000000001E-2</c:v>
                  </c:pt>
                </c:numCache>
              </c:numRef>
            </c:minus>
          </c:errBars>
          <c:cat>
            <c:strRef>
              <c:f>Sheet1!$A$29:$A$32</c:f>
              <c:strCache>
                <c:ptCount val="4"/>
                <c:pt idx="0">
                  <c:v>T0</c:v>
                </c:pt>
                <c:pt idx="1">
                  <c:v>T1</c:v>
                </c:pt>
                <c:pt idx="2">
                  <c:v>T2</c:v>
                </c:pt>
                <c:pt idx="3">
                  <c:v> T3</c:v>
                </c:pt>
              </c:strCache>
            </c:strRef>
          </c:cat>
          <c:val>
            <c:numRef>
              <c:f>Sheet1!$C$29:$C$32</c:f>
              <c:numCache>
                <c:formatCode>General</c:formatCode>
                <c:ptCount val="4"/>
                <c:pt idx="0">
                  <c:v>6.99</c:v>
                </c:pt>
                <c:pt idx="1">
                  <c:v>8.34</c:v>
                </c:pt>
                <c:pt idx="2">
                  <c:v>9.07</c:v>
                </c:pt>
                <c:pt idx="3">
                  <c:v>9.9600000000000026</c:v>
                </c:pt>
              </c:numCache>
            </c:numRef>
          </c:val>
        </c:ser>
        <c:ser>
          <c:idx val="2"/>
          <c:order val="2"/>
          <c:tx>
            <c:strRef>
              <c:f>Sheet1!$D$28</c:f>
              <c:strCache>
                <c:ptCount val="1"/>
                <c:pt idx="0">
                  <c:v>3 (Promilk)</c:v>
                </c:pt>
              </c:strCache>
            </c:strRef>
          </c:tx>
          <c:spPr>
            <a:ln w="12700">
              <a:solidFill>
                <a:srgbClr val="92D050"/>
              </a:solidFill>
            </a:ln>
          </c:spPr>
          <c:marker>
            <c:spPr>
              <a:solidFill>
                <a:srgbClr val="92D050"/>
              </a:solidFill>
              <a:ln>
                <a:solidFill>
                  <a:srgbClr val="92D050"/>
                </a:solidFill>
              </a:ln>
            </c:spPr>
          </c:marker>
          <c:errBars>
            <c:errDir val="y"/>
            <c:errBarType val="both"/>
            <c:errValType val="cust"/>
            <c:plus>
              <c:numRef>
                <c:f>Sheet1!$I$31:$M$31</c:f>
                <c:numCache>
                  <c:formatCode>General</c:formatCode>
                  <c:ptCount val="5"/>
                  <c:pt idx="0">
                    <c:v>4.9000000000000113E-2</c:v>
                  </c:pt>
                  <c:pt idx="1">
                    <c:v>3.7999999999999999E-2</c:v>
                  </c:pt>
                  <c:pt idx="2">
                    <c:v>4.2000000000000023E-2</c:v>
                  </c:pt>
                  <c:pt idx="3">
                    <c:v>2.8000000000000001E-2</c:v>
                  </c:pt>
                  <c:pt idx="4">
                    <c:v>2.9000000000000001E-2</c:v>
                  </c:pt>
                </c:numCache>
              </c:numRef>
            </c:plus>
            <c:minus>
              <c:numRef>
                <c:f>Sheet1!$I$31:$M$31</c:f>
                <c:numCache>
                  <c:formatCode>General</c:formatCode>
                  <c:ptCount val="5"/>
                  <c:pt idx="0">
                    <c:v>4.9000000000000113E-2</c:v>
                  </c:pt>
                  <c:pt idx="1">
                    <c:v>3.7999999999999999E-2</c:v>
                  </c:pt>
                  <c:pt idx="2">
                    <c:v>4.2000000000000023E-2</c:v>
                  </c:pt>
                  <c:pt idx="3">
                    <c:v>2.8000000000000001E-2</c:v>
                  </c:pt>
                  <c:pt idx="4">
                    <c:v>2.9000000000000001E-2</c:v>
                  </c:pt>
                </c:numCache>
              </c:numRef>
            </c:minus>
          </c:errBars>
          <c:cat>
            <c:strRef>
              <c:f>Sheet1!$A$29:$A$32</c:f>
              <c:strCache>
                <c:ptCount val="4"/>
                <c:pt idx="0">
                  <c:v>T0</c:v>
                </c:pt>
                <c:pt idx="1">
                  <c:v>T1</c:v>
                </c:pt>
                <c:pt idx="2">
                  <c:v>T2</c:v>
                </c:pt>
                <c:pt idx="3">
                  <c:v> T3</c:v>
                </c:pt>
              </c:strCache>
            </c:strRef>
          </c:cat>
          <c:val>
            <c:numRef>
              <c:f>Sheet1!$D$29:$D$32</c:f>
              <c:numCache>
                <c:formatCode>General</c:formatCode>
                <c:ptCount val="4"/>
                <c:pt idx="0">
                  <c:v>6.98</c:v>
                </c:pt>
                <c:pt idx="1">
                  <c:v>8.09</c:v>
                </c:pt>
                <c:pt idx="2">
                  <c:v>8.66</c:v>
                </c:pt>
                <c:pt idx="3">
                  <c:v>9.2800000000000011</c:v>
                </c:pt>
              </c:numCache>
            </c:numRef>
          </c:val>
        </c:ser>
        <c:ser>
          <c:idx val="3"/>
          <c:order val="3"/>
          <c:tx>
            <c:strRef>
              <c:f>Sheet1!$E$28</c:f>
              <c:strCache>
                <c:ptCount val="1"/>
                <c:pt idx="0">
                  <c:v>4 (H. Caseine)</c:v>
                </c:pt>
              </c:strCache>
            </c:strRef>
          </c:tx>
          <c:spPr>
            <a:ln w="12700">
              <a:solidFill>
                <a:srgbClr val="990099"/>
              </a:solidFill>
            </a:ln>
          </c:spPr>
          <c:marker>
            <c:spPr>
              <a:solidFill>
                <a:srgbClr val="990099"/>
              </a:solidFill>
              <a:ln>
                <a:solidFill>
                  <a:srgbClr val="990099"/>
                </a:solidFill>
              </a:ln>
            </c:spPr>
          </c:marker>
          <c:errBars>
            <c:errDir val="y"/>
            <c:errBarType val="both"/>
            <c:errValType val="cust"/>
            <c:plus>
              <c:numRef>
                <c:f>Sheet1!$I$32:$M$32</c:f>
                <c:numCache>
                  <c:formatCode>General</c:formatCode>
                  <c:ptCount val="5"/>
                  <c:pt idx="0">
                    <c:v>5.8000000000000003E-2</c:v>
                  </c:pt>
                  <c:pt idx="1">
                    <c:v>2.4E-2</c:v>
                  </c:pt>
                  <c:pt idx="2">
                    <c:v>4.9000000000000113E-2</c:v>
                  </c:pt>
                  <c:pt idx="3">
                    <c:v>3.500000000000001E-2</c:v>
                  </c:pt>
                  <c:pt idx="4">
                    <c:v>0.05</c:v>
                  </c:pt>
                </c:numCache>
              </c:numRef>
            </c:plus>
            <c:minus>
              <c:numRef>
                <c:f>Sheet1!$I$32:$M$32</c:f>
                <c:numCache>
                  <c:formatCode>General</c:formatCode>
                  <c:ptCount val="5"/>
                  <c:pt idx="0">
                    <c:v>5.8000000000000003E-2</c:v>
                  </c:pt>
                  <c:pt idx="1">
                    <c:v>2.4E-2</c:v>
                  </c:pt>
                  <c:pt idx="2">
                    <c:v>4.9000000000000113E-2</c:v>
                  </c:pt>
                  <c:pt idx="3">
                    <c:v>3.500000000000001E-2</c:v>
                  </c:pt>
                  <c:pt idx="4">
                    <c:v>0.05</c:v>
                  </c:pt>
                </c:numCache>
              </c:numRef>
            </c:minus>
          </c:errBars>
          <c:cat>
            <c:strRef>
              <c:f>Sheet1!$A$29:$A$32</c:f>
              <c:strCache>
                <c:ptCount val="4"/>
                <c:pt idx="0">
                  <c:v>T0</c:v>
                </c:pt>
                <c:pt idx="1">
                  <c:v>T1</c:v>
                </c:pt>
                <c:pt idx="2">
                  <c:v>T2</c:v>
                </c:pt>
                <c:pt idx="3">
                  <c:v> T3</c:v>
                </c:pt>
              </c:strCache>
            </c:strRef>
          </c:cat>
          <c:val>
            <c:numRef>
              <c:f>Sheet1!$E$29:$E$32</c:f>
              <c:numCache>
                <c:formatCode>General</c:formatCode>
                <c:ptCount val="4"/>
                <c:pt idx="0">
                  <c:v>6.9700000000000024</c:v>
                </c:pt>
                <c:pt idx="1">
                  <c:v>8.18</c:v>
                </c:pt>
                <c:pt idx="2">
                  <c:v>8.7800000000000011</c:v>
                </c:pt>
                <c:pt idx="3">
                  <c:v>9.4</c:v>
                </c:pt>
              </c:numCache>
            </c:numRef>
          </c:val>
        </c:ser>
        <c:ser>
          <c:idx val="4"/>
          <c:order val="4"/>
          <c:tx>
            <c:strRef>
              <c:f>Sheet1!$F$28</c:f>
              <c:strCache>
                <c:ptCount val="1"/>
                <c:pt idx="0">
                  <c:v>5 (H. Proteine)</c:v>
                </c:pt>
              </c:strCache>
            </c:strRef>
          </c:tx>
          <c:spPr>
            <a:ln w="12700">
              <a:solidFill>
                <a:srgbClr val="FF33CC"/>
              </a:solidFill>
            </a:ln>
          </c:spPr>
          <c:marker>
            <c:symbol val="circle"/>
            <c:size val="4"/>
            <c:spPr>
              <a:solidFill>
                <a:srgbClr val="FF33CC"/>
              </a:solidFill>
              <a:ln>
                <a:solidFill>
                  <a:srgbClr val="FF33CC"/>
                </a:solidFill>
              </a:ln>
            </c:spPr>
          </c:marker>
          <c:cat>
            <c:strRef>
              <c:f>Sheet1!$A$29:$A$32</c:f>
              <c:strCache>
                <c:ptCount val="4"/>
                <c:pt idx="0">
                  <c:v>T0</c:v>
                </c:pt>
                <c:pt idx="1">
                  <c:v>T1</c:v>
                </c:pt>
                <c:pt idx="2">
                  <c:v>T2</c:v>
                </c:pt>
                <c:pt idx="3">
                  <c:v> T3</c:v>
                </c:pt>
              </c:strCache>
            </c:strRef>
          </c:cat>
          <c:val>
            <c:numRef>
              <c:f>Sheet1!$F$29:$F$32</c:f>
              <c:numCache>
                <c:formatCode>General</c:formatCode>
                <c:ptCount val="4"/>
                <c:pt idx="0">
                  <c:v>6.9700000000000024</c:v>
                </c:pt>
                <c:pt idx="1">
                  <c:v>8.2800000000000011</c:v>
                </c:pt>
                <c:pt idx="2">
                  <c:v>9.2800000000000011</c:v>
                </c:pt>
                <c:pt idx="3">
                  <c:v>9.620000000000001</c:v>
                </c:pt>
              </c:numCache>
            </c:numRef>
          </c:val>
        </c:ser>
        <c:marker val="1"/>
        <c:axId val="60064512"/>
        <c:axId val="60066816"/>
      </c:lineChart>
      <c:catAx>
        <c:axId val="60064512"/>
        <c:scaling>
          <c:orientation val="minMax"/>
        </c:scaling>
        <c:axPos val="b"/>
        <c:title>
          <c:tx>
            <c:rich>
              <a:bodyPr/>
              <a:lstStyle/>
              <a:p>
                <a:pPr>
                  <a:defRPr>
                    <a:latin typeface="Times New Roman" pitchFamily="18" charset="0"/>
                    <a:cs typeface="Times New Roman" pitchFamily="18" charset="0"/>
                  </a:defRPr>
                </a:pPr>
                <a:r>
                  <a:rPr lang="en-US">
                    <a:latin typeface="Times New Roman" pitchFamily="18" charset="0"/>
                    <a:cs typeface="Times New Roman" pitchFamily="18" charset="0"/>
                  </a:rPr>
                  <a:t>Temps (h)</a:t>
                </a:r>
              </a:p>
            </c:rich>
          </c:tx>
          <c:layout>
            <c:manualLayout>
              <c:xMode val="edge"/>
              <c:yMode val="edge"/>
              <c:x val="0.41228915662650573"/>
              <c:y val="0.9267661972360981"/>
            </c:manualLayout>
          </c:layout>
        </c:title>
        <c:numFmt formatCode="General" sourceLinked="1"/>
        <c:tickLblPos val="nextTo"/>
        <c:spPr>
          <a:ln w="9525">
            <a:solidFill>
              <a:sysClr val="windowText" lastClr="000000"/>
            </a:solidFill>
          </a:ln>
        </c:spPr>
        <c:txPr>
          <a:bodyPr/>
          <a:lstStyle/>
          <a:p>
            <a:pPr>
              <a:defRPr b="1" i="0" baseline="0"/>
            </a:pPr>
            <a:endParaRPr lang="fr-FR"/>
          </a:p>
        </c:txPr>
        <c:crossAx val="60066816"/>
        <c:crosses val="autoZero"/>
        <c:auto val="1"/>
        <c:lblAlgn val="ctr"/>
        <c:lblOffset val="100"/>
      </c:catAx>
      <c:valAx>
        <c:axId val="60066816"/>
        <c:scaling>
          <c:orientation val="minMax"/>
          <c:max val="10"/>
          <c:min val="6.5"/>
        </c:scaling>
        <c:axPos val="l"/>
        <c:title>
          <c:tx>
            <c:rich>
              <a:bodyPr rot="-5400000" vert="horz"/>
              <a:lstStyle/>
              <a:p>
                <a:pPr>
                  <a:defRPr/>
                </a:pPr>
                <a:r>
                  <a:rPr lang="en-US">
                    <a:latin typeface="Times New Roman" pitchFamily="18" charset="0"/>
                    <a:cs typeface="Times New Roman" pitchFamily="18" charset="0"/>
                  </a:rPr>
                  <a:t>log UFC/ml</a:t>
                </a:r>
              </a:p>
            </c:rich>
          </c:tx>
          <c:layout/>
        </c:title>
        <c:numFmt formatCode="General" sourceLinked="1"/>
        <c:tickLblPos val="nextTo"/>
        <c:spPr>
          <a:ln w="9525">
            <a:solidFill>
              <a:schemeClr val="tx1"/>
            </a:solidFill>
          </a:ln>
        </c:spPr>
        <c:txPr>
          <a:bodyPr/>
          <a:lstStyle/>
          <a:p>
            <a:pPr>
              <a:defRPr b="1" i="0" baseline="0"/>
            </a:pPr>
            <a:endParaRPr lang="fr-FR"/>
          </a:p>
        </c:txPr>
        <c:crossAx val="60064512"/>
        <c:crosses val="autoZero"/>
        <c:crossBetween val="midCat"/>
        <c:majorUnit val="0.5"/>
      </c:valAx>
    </c:plotArea>
    <c:plotVisOnly val="1"/>
    <c:dispBlanksAs val="gap"/>
  </c:chart>
  <c:spPr>
    <a:ln>
      <a:solidFill>
        <a:schemeClr val="bg1"/>
      </a:solidFill>
    </a:ln>
  </c:spPr>
  <c:externalData r:id="rId1"/>
  <c:userShapes r:id="rId2"/>
</c:chartSpace>
</file>

<file path=word/charts/chart18.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a:pPr>
            <a:r>
              <a:rPr lang="fr-FR" b="0"/>
              <a:t>C</a:t>
            </a:r>
          </a:p>
        </c:rich>
      </c:tx>
      <c:layout>
        <c:manualLayout>
          <c:xMode val="edge"/>
          <c:yMode val="edge"/>
          <c:x val="6.6656167979002631E-2"/>
          <c:y val="0"/>
        </c:manualLayout>
      </c:layout>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28552263779527665"/>
          <c:y val="0.16176073410670994"/>
          <c:w val="0.62625065616798092"/>
          <c:h val="0.64785464040177698"/>
        </c:manualLayout>
      </c:layout>
      <c:lineChart>
        <c:grouping val="standard"/>
        <c:ser>
          <c:idx val="0"/>
          <c:order val="0"/>
          <c:tx>
            <c:strRef>
              <c:f>[1]Sheet2!$B$68</c:f>
              <c:strCache>
                <c:ptCount val="1"/>
                <c:pt idx="0">
                  <c:v>1 (Temoin)</c:v>
                </c:pt>
              </c:strCache>
            </c:strRef>
          </c:tx>
          <c:spPr>
            <a:ln w="12700"/>
          </c:spPr>
          <c:marker>
            <c:symbol val="diamond"/>
            <c:size val="4"/>
          </c:marker>
          <c:errBars>
            <c:errDir val="y"/>
            <c:errBarType val="both"/>
            <c:errValType val="cust"/>
            <c:plus>
              <c:numRef>
                <c:f>[1]Sheet2!$I$69:$I$72</c:f>
                <c:numCache>
                  <c:formatCode>General</c:formatCode>
                  <c:ptCount val="4"/>
                  <c:pt idx="0">
                    <c:v>4.3999999999999997E-2</c:v>
                  </c:pt>
                  <c:pt idx="1">
                    <c:v>3.500000000000001E-2</c:v>
                  </c:pt>
                  <c:pt idx="2">
                    <c:v>3.5999999999999997E-2</c:v>
                  </c:pt>
                  <c:pt idx="3">
                    <c:v>3.2000000000000042E-2</c:v>
                  </c:pt>
                </c:numCache>
              </c:numRef>
            </c:plus>
            <c:minus>
              <c:numRef>
                <c:f>[1]Sheet2!$I$69:$I$72</c:f>
                <c:numCache>
                  <c:formatCode>General</c:formatCode>
                  <c:ptCount val="4"/>
                  <c:pt idx="0">
                    <c:v>4.3999999999999997E-2</c:v>
                  </c:pt>
                  <c:pt idx="1">
                    <c:v>3.500000000000001E-2</c:v>
                  </c:pt>
                  <c:pt idx="2">
                    <c:v>3.5999999999999997E-2</c:v>
                  </c:pt>
                  <c:pt idx="3">
                    <c:v>3.2000000000000042E-2</c:v>
                  </c:pt>
                </c:numCache>
              </c:numRef>
            </c:minus>
          </c:errBars>
          <c:cat>
            <c:strRef>
              <c:f>[1]Sheet2!$A$69:$A$72</c:f>
              <c:strCache>
                <c:ptCount val="4"/>
                <c:pt idx="0">
                  <c:v>T0</c:v>
                </c:pt>
                <c:pt idx="1">
                  <c:v>T1</c:v>
                </c:pt>
                <c:pt idx="2">
                  <c:v>T2</c:v>
                </c:pt>
                <c:pt idx="3">
                  <c:v> T3</c:v>
                </c:pt>
              </c:strCache>
            </c:strRef>
          </c:cat>
          <c:val>
            <c:numRef>
              <c:f>[1]Sheet2!$B$69:$B$72</c:f>
              <c:numCache>
                <c:formatCode>General</c:formatCode>
                <c:ptCount val="4"/>
                <c:pt idx="0">
                  <c:v>6.96</c:v>
                </c:pt>
                <c:pt idx="1">
                  <c:v>7.9700000000000024</c:v>
                </c:pt>
                <c:pt idx="2">
                  <c:v>8.59</c:v>
                </c:pt>
                <c:pt idx="3">
                  <c:v>9.26</c:v>
                </c:pt>
              </c:numCache>
            </c:numRef>
          </c:val>
        </c:ser>
        <c:ser>
          <c:idx val="1"/>
          <c:order val="1"/>
          <c:tx>
            <c:strRef>
              <c:f>[1]Sheet2!$C$68</c:f>
              <c:strCache>
                <c:ptCount val="1"/>
                <c:pt idx="0">
                  <c:v>2 (Lactoserum)</c:v>
                </c:pt>
              </c:strCache>
            </c:strRef>
          </c:tx>
          <c:spPr>
            <a:ln w="12700">
              <a:solidFill>
                <a:srgbClr val="FF9900"/>
              </a:solidFill>
            </a:ln>
          </c:spPr>
          <c:marker>
            <c:symbol val="square"/>
            <c:size val="4"/>
            <c:spPr>
              <a:solidFill>
                <a:srgbClr val="FF9900"/>
              </a:solidFill>
              <a:ln>
                <a:solidFill>
                  <a:srgbClr val="FF9900"/>
                </a:solidFill>
              </a:ln>
            </c:spPr>
          </c:marker>
          <c:errBars>
            <c:errDir val="y"/>
            <c:errBarType val="both"/>
            <c:errValType val="cust"/>
            <c:plus>
              <c:numRef>
                <c:f>[1]Sheet2!$J$69:$J$72</c:f>
                <c:numCache>
                  <c:formatCode>General</c:formatCode>
                  <c:ptCount val="4"/>
                  <c:pt idx="0">
                    <c:v>4.5000000000000012E-2</c:v>
                  </c:pt>
                  <c:pt idx="1">
                    <c:v>2.9000000000000001E-2</c:v>
                  </c:pt>
                  <c:pt idx="2">
                    <c:v>3.3000000000000002E-2</c:v>
                  </c:pt>
                  <c:pt idx="3">
                    <c:v>4.1000000000000002E-2</c:v>
                  </c:pt>
                </c:numCache>
              </c:numRef>
            </c:plus>
            <c:minus>
              <c:numRef>
                <c:f>[1]Sheet2!$J$69:$J$72</c:f>
                <c:numCache>
                  <c:formatCode>General</c:formatCode>
                  <c:ptCount val="4"/>
                  <c:pt idx="0">
                    <c:v>4.5000000000000012E-2</c:v>
                  </c:pt>
                  <c:pt idx="1">
                    <c:v>2.9000000000000001E-2</c:v>
                  </c:pt>
                  <c:pt idx="2">
                    <c:v>3.3000000000000002E-2</c:v>
                  </c:pt>
                  <c:pt idx="3">
                    <c:v>4.1000000000000002E-2</c:v>
                  </c:pt>
                </c:numCache>
              </c:numRef>
            </c:minus>
          </c:errBars>
          <c:cat>
            <c:strRef>
              <c:f>[1]Sheet2!$A$69:$A$72</c:f>
              <c:strCache>
                <c:ptCount val="4"/>
                <c:pt idx="0">
                  <c:v>T0</c:v>
                </c:pt>
                <c:pt idx="1">
                  <c:v>T1</c:v>
                </c:pt>
                <c:pt idx="2">
                  <c:v>T2</c:v>
                </c:pt>
                <c:pt idx="3">
                  <c:v> T3</c:v>
                </c:pt>
              </c:strCache>
            </c:strRef>
          </c:cat>
          <c:val>
            <c:numRef>
              <c:f>[1]Sheet2!$C$69:$C$72</c:f>
              <c:numCache>
                <c:formatCode>General</c:formatCode>
                <c:ptCount val="4"/>
                <c:pt idx="0">
                  <c:v>6.96</c:v>
                </c:pt>
                <c:pt idx="1">
                  <c:v>8.4</c:v>
                </c:pt>
                <c:pt idx="2">
                  <c:v>9.16</c:v>
                </c:pt>
                <c:pt idx="3">
                  <c:v>10.07</c:v>
                </c:pt>
              </c:numCache>
            </c:numRef>
          </c:val>
        </c:ser>
        <c:ser>
          <c:idx val="2"/>
          <c:order val="2"/>
          <c:tx>
            <c:strRef>
              <c:f>[1]Sheet2!$D$68</c:f>
              <c:strCache>
                <c:ptCount val="1"/>
                <c:pt idx="0">
                  <c:v>3 (Promilk)</c:v>
                </c:pt>
              </c:strCache>
            </c:strRef>
          </c:tx>
          <c:spPr>
            <a:ln w="12700">
              <a:solidFill>
                <a:srgbClr val="92D050"/>
              </a:solidFill>
            </a:ln>
          </c:spPr>
          <c:marker>
            <c:symbol val="triangle"/>
            <c:size val="4"/>
            <c:spPr>
              <a:solidFill>
                <a:srgbClr val="92D050"/>
              </a:solidFill>
              <a:ln>
                <a:solidFill>
                  <a:srgbClr val="92D050"/>
                </a:solidFill>
              </a:ln>
            </c:spPr>
          </c:marker>
          <c:errBars>
            <c:errDir val="y"/>
            <c:errBarType val="both"/>
            <c:errValType val="cust"/>
            <c:plus>
              <c:numRef>
                <c:f>[1]Sheet2!$K$69:$K$72</c:f>
                <c:numCache>
                  <c:formatCode>General</c:formatCode>
                  <c:ptCount val="4"/>
                  <c:pt idx="0">
                    <c:v>2.9000000000000001E-2</c:v>
                  </c:pt>
                  <c:pt idx="1">
                    <c:v>3.2000000000000042E-2</c:v>
                  </c:pt>
                  <c:pt idx="2">
                    <c:v>4.5999999999999999E-2</c:v>
                  </c:pt>
                  <c:pt idx="3">
                    <c:v>2.7000000000000128E-2</c:v>
                  </c:pt>
                </c:numCache>
              </c:numRef>
            </c:plus>
            <c:minus>
              <c:numRef>
                <c:f>[1]Sheet2!$K$69:$K$72</c:f>
                <c:numCache>
                  <c:formatCode>General</c:formatCode>
                  <c:ptCount val="4"/>
                  <c:pt idx="0">
                    <c:v>2.9000000000000001E-2</c:v>
                  </c:pt>
                  <c:pt idx="1">
                    <c:v>3.2000000000000042E-2</c:v>
                  </c:pt>
                  <c:pt idx="2">
                    <c:v>4.5999999999999999E-2</c:v>
                  </c:pt>
                  <c:pt idx="3">
                    <c:v>2.7000000000000128E-2</c:v>
                  </c:pt>
                </c:numCache>
              </c:numRef>
            </c:minus>
          </c:errBars>
          <c:cat>
            <c:strRef>
              <c:f>[1]Sheet2!$A$69:$A$72</c:f>
              <c:strCache>
                <c:ptCount val="4"/>
                <c:pt idx="0">
                  <c:v>T0</c:v>
                </c:pt>
                <c:pt idx="1">
                  <c:v>T1</c:v>
                </c:pt>
                <c:pt idx="2">
                  <c:v>T2</c:v>
                </c:pt>
                <c:pt idx="3">
                  <c:v> T3</c:v>
                </c:pt>
              </c:strCache>
            </c:strRef>
          </c:cat>
          <c:val>
            <c:numRef>
              <c:f>[1]Sheet2!$D$69:$D$72</c:f>
              <c:numCache>
                <c:formatCode>General</c:formatCode>
                <c:ptCount val="4"/>
                <c:pt idx="0">
                  <c:v>6.98</c:v>
                </c:pt>
                <c:pt idx="1">
                  <c:v>8.120000000000001</c:v>
                </c:pt>
                <c:pt idx="2">
                  <c:v>8.56</c:v>
                </c:pt>
                <c:pt idx="3">
                  <c:v>9.2199999999999989</c:v>
                </c:pt>
              </c:numCache>
            </c:numRef>
          </c:val>
        </c:ser>
        <c:ser>
          <c:idx val="3"/>
          <c:order val="3"/>
          <c:tx>
            <c:strRef>
              <c:f>[1]Sheet2!$E$68</c:f>
              <c:strCache>
                <c:ptCount val="1"/>
                <c:pt idx="0">
                  <c:v>4 (H. Caseine)</c:v>
                </c:pt>
              </c:strCache>
            </c:strRef>
          </c:tx>
          <c:spPr>
            <a:ln w="12700">
              <a:solidFill>
                <a:srgbClr val="990099"/>
              </a:solidFill>
            </a:ln>
          </c:spPr>
          <c:marker>
            <c:symbol val="x"/>
            <c:size val="4"/>
            <c:spPr>
              <a:solidFill>
                <a:srgbClr val="990099"/>
              </a:solidFill>
              <a:ln>
                <a:solidFill>
                  <a:srgbClr val="990099"/>
                </a:solidFill>
              </a:ln>
            </c:spPr>
          </c:marker>
          <c:errBars>
            <c:errDir val="y"/>
            <c:errBarType val="both"/>
            <c:errValType val="cust"/>
            <c:plus>
              <c:numRef>
                <c:f>[1]Sheet2!$L$69:$L$72</c:f>
                <c:numCache>
                  <c:formatCode>General</c:formatCode>
                  <c:ptCount val="4"/>
                  <c:pt idx="0">
                    <c:v>2.5000000000000001E-2</c:v>
                  </c:pt>
                  <c:pt idx="1">
                    <c:v>2.7000000000000128E-2</c:v>
                  </c:pt>
                  <c:pt idx="2">
                    <c:v>3.1000000000000052E-2</c:v>
                  </c:pt>
                  <c:pt idx="3">
                    <c:v>4.5000000000000012E-2</c:v>
                  </c:pt>
                </c:numCache>
              </c:numRef>
            </c:plus>
            <c:minus>
              <c:numRef>
                <c:f>[1]Sheet2!$L$69:$L$72</c:f>
                <c:numCache>
                  <c:formatCode>General</c:formatCode>
                  <c:ptCount val="4"/>
                  <c:pt idx="0">
                    <c:v>2.5000000000000001E-2</c:v>
                  </c:pt>
                  <c:pt idx="1">
                    <c:v>2.7000000000000128E-2</c:v>
                  </c:pt>
                  <c:pt idx="2">
                    <c:v>3.1000000000000052E-2</c:v>
                  </c:pt>
                  <c:pt idx="3">
                    <c:v>4.5000000000000012E-2</c:v>
                  </c:pt>
                </c:numCache>
              </c:numRef>
            </c:minus>
          </c:errBars>
          <c:cat>
            <c:strRef>
              <c:f>[1]Sheet2!$A$69:$A$72</c:f>
              <c:strCache>
                <c:ptCount val="4"/>
                <c:pt idx="0">
                  <c:v>T0</c:v>
                </c:pt>
                <c:pt idx="1">
                  <c:v>T1</c:v>
                </c:pt>
                <c:pt idx="2">
                  <c:v>T2</c:v>
                </c:pt>
                <c:pt idx="3">
                  <c:v> T3</c:v>
                </c:pt>
              </c:strCache>
            </c:strRef>
          </c:cat>
          <c:val>
            <c:numRef>
              <c:f>[1]Sheet2!$E$69:$E$72</c:f>
              <c:numCache>
                <c:formatCode>General</c:formatCode>
                <c:ptCount val="4"/>
                <c:pt idx="0">
                  <c:v>6.99</c:v>
                </c:pt>
                <c:pt idx="1">
                  <c:v>8.2199999999999989</c:v>
                </c:pt>
                <c:pt idx="2">
                  <c:v>8.83</c:v>
                </c:pt>
                <c:pt idx="3">
                  <c:v>9.5400000000000009</c:v>
                </c:pt>
              </c:numCache>
            </c:numRef>
          </c:val>
        </c:ser>
        <c:ser>
          <c:idx val="4"/>
          <c:order val="4"/>
          <c:tx>
            <c:strRef>
              <c:f>[1]Sheet2!$F$68</c:f>
              <c:strCache>
                <c:ptCount val="1"/>
                <c:pt idx="0">
                  <c:v>5 (H. Proteine)</c:v>
                </c:pt>
              </c:strCache>
            </c:strRef>
          </c:tx>
          <c:spPr>
            <a:ln w="12700">
              <a:solidFill>
                <a:srgbClr val="FF33CC"/>
              </a:solidFill>
            </a:ln>
          </c:spPr>
          <c:marker>
            <c:symbol val="circle"/>
            <c:size val="4"/>
            <c:spPr>
              <a:solidFill>
                <a:srgbClr val="FF33CC"/>
              </a:solidFill>
              <a:ln>
                <a:solidFill>
                  <a:srgbClr val="FF33CC"/>
                </a:solidFill>
              </a:ln>
            </c:spPr>
          </c:marker>
          <c:errBars>
            <c:errDir val="y"/>
            <c:errBarType val="both"/>
            <c:errValType val="cust"/>
            <c:plus>
              <c:numRef>
                <c:f>[1]Sheet2!$M$69:$M$72</c:f>
                <c:numCache>
                  <c:formatCode>General</c:formatCode>
                  <c:ptCount val="4"/>
                  <c:pt idx="0">
                    <c:v>2.9000000000000001E-2</c:v>
                  </c:pt>
                  <c:pt idx="1">
                    <c:v>3.3000000000000002E-2</c:v>
                  </c:pt>
                  <c:pt idx="2">
                    <c:v>3.5999999999999997E-2</c:v>
                  </c:pt>
                  <c:pt idx="3">
                    <c:v>3.0000000000000002E-2</c:v>
                  </c:pt>
                </c:numCache>
              </c:numRef>
            </c:plus>
            <c:minus>
              <c:numRef>
                <c:f>[1]Sheet2!$M$69:$M$72</c:f>
                <c:numCache>
                  <c:formatCode>General</c:formatCode>
                  <c:ptCount val="4"/>
                  <c:pt idx="0">
                    <c:v>2.9000000000000001E-2</c:v>
                  </c:pt>
                  <c:pt idx="1">
                    <c:v>3.3000000000000002E-2</c:v>
                  </c:pt>
                  <c:pt idx="2">
                    <c:v>3.5999999999999997E-2</c:v>
                  </c:pt>
                  <c:pt idx="3">
                    <c:v>3.0000000000000002E-2</c:v>
                  </c:pt>
                </c:numCache>
              </c:numRef>
            </c:minus>
            <c:spPr>
              <a:ln w="3175">
                <a:solidFill>
                  <a:srgbClr val="000000"/>
                </a:solidFill>
                <a:prstDash val="solid"/>
              </a:ln>
            </c:spPr>
          </c:errBars>
          <c:cat>
            <c:strRef>
              <c:f>[1]Sheet2!$A$69:$A$72</c:f>
              <c:strCache>
                <c:ptCount val="4"/>
                <c:pt idx="0">
                  <c:v>T0</c:v>
                </c:pt>
                <c:pt idx="1">
                  <c:v>T1</c:v>
                </c:pt>
                <c:pt idx="2">
                  <c:v>T2</c:v>
                </c:pt>
                <c:pt idx="3">
                  <c:v> T3</c:v>
                </c:pt>
              </c:strCache>
            </c:strRef>
          </c:cat>
          <c:val>
            <c:numRef>
              <c:f>[1]Sheet2!$F$69:$F$72</c:f>
              <c:numCache>
                <c:formatCode>General</c:formatCode>
                <c:ptCount val="4"/>
                <c:pt idx="0">
                  <c:v>6.98</c:v>
                </c:pt>
                <c:pt idx="1">
                  <c:v>8.2800000000000011</c:v>
                </c:pt>
                <c:pt idx="2">
                  <c:v>9.02</c:v>
                </c:pt>
                <c:pt idx="3">
                  <c:v>9.83</c:v>
                </c:pt>
              </c:numCache>
            </c:numRef>
          </c:val>
        </c:ser>
        <c:marker val="1"/>
        <c:axId val="60120448"/>
        <c:axId val="60151296"/>
      </c:lineChart>
      <c:catAx>
        <c:axId val="60120448"/>
        <c:scaling>
          <c:orientation val="minMax"/>
        </c:scaling>
        <c:axPos val="b"/>
        <c:title>
          <c:tx>
            <c:rich>
              <a:bodyPr/>
              <a:lstStyle/>
              <a:p>
                <a:pPr>
                  <a:defRPr/>
                </a:pPr>
                <a:r>
                  <a:rPr lang="en-US"/>
                  <a:t>Temps (h)</a:t>
                </a:r>
              </a:p>
            </c:rich>
          </c:tx>
          <c:layout>
            <c:manualLayout>
              <c:xMode val="edge"/>
              <c:yMode val="edge"/>
              <c:x val="0.47465780839895083"/>
              <c:y val="0.92149305764260381"/>
            </c:manualLayout>
          </c:layout>
        </c:title>
        <c:numFmt formatCode="General" sourceLinked="1"/>
        <c:tickLblPos val="nextTo"/>
        <c:spPr>
          <a:ln w="9525">
            <a:solidFill>
              <a:schemeClr val="tx1"/>
            </a:solidFill>
          </a:ln>
        </c:spPr>
        <c:txPr>
          <a:bodyPr/>
          <a:lstStyle/>
          <a:p>
            <a:pPr>
              <a:defRPr b="1" i="0" baseline="0"/>
            </a:pPr>
            <a:endParaRPr lang="fr-FR"/>
          </a:p>
        </c:txPr>
        <c:crossAx val="60151296"/>
        <c:crosses val="autoZero"/>
        <c:auto val="1"/>
        <c:lblAlgn val="ctr"/>
        <c:lblOffset val="100"/>
      </c:catAx>
      <c:valAx>
        <c:axId val="60151296"/>
        <c:scaling>
          <c:orientation val="minMax"/>
          <c:max val="11"/>
          <c:min val="6"/>
        </c:scaling>
        <c:axPos val="l"/>
        <c:title>
          <c:tx>
            <c:rich>
              <a:bodyPr rot="-5400000" vert="horz"/>
              <a:lstStyle/>
              <a:p>
                <a:pPr>
                  <a:defRPr/>
                </a:pPr>
                <a:r>
                  <a:rPr lang="en-US"/>
                  <a:t>log UFC/ml</a:t>
                </a:r>
              </a:p>
            </c:rich>
          </c:tx>
          <c:layout/>
        </c:title>
        <c:numFmt formatCode="General" sourceLinked="1"/>
        <c:tickLblPos val="nextTo"/>
        <c:spPr>
          <a:ln w="9525">
            <a:solidFill>
              <a:schemeClr val="tx1"/>
            </a:solidFill>
          </a:ln>
        </c:spPr>
        <c:txPr>
          <a:bodyPr/>
          <a:lstStyle/>
          <a:p>
            <a:pPr>
              <a:defRPr b="1" i="0" baseline="0"/>
            </a:pPr>
            <a:endParaRPr lang="fr-FR"/>
          </a:p>
        </c:txPr>
        <c:crossAx val="60120448"/>
        <c:crosses val="autoZero"/>
        <c:crossBetween val="midCat"/>
        <c:majorUnit val="0.5"/>
        <c:minorUnit val="0.2"/>
      </c:valAx>
    </c:plotArea>
    <c:plotVisOnly val="1"/>
    <c:dispBlanksAs val="gap"/>
  </c:chart>
  <c:spPr>
    <a:ln>
      <a:solidFill>
        <a:schemeClr val="bg1"/>
      </a:solidFill>
    </a:ln>
  </c:spPr>
  <c:txPr>
    <a:bodyPr/>
    <a:lstStyle/>
    <a:p>
      <a:pPr>
        <a:defRPr>
          <a:latin typeface="Times New Roman" pitchFamily="18" charset="0"/>
          <a:cs typeface="Times New Roman" pitchFamily="18" charset="0"/>
        </a:defRPr>
      </a:pPr>
      <a:endParaRPr lang="fr-FR"/>
    </a:p>
  </c:txPr>
  <c:externalData r:id="rId1"/>
  <c:userShapes r:id="rId2"/>
</c:chartSpace>
</file>

<file path=word/charts/chart19.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a:pPr>
            <a:r>
              <a:rPr lang="fr-FR" b="0">
                <a:latin typeface="Times New Roman" pitchFamily="18" charset="0"/>
                <a:cs typeface="Times New Roman" pitchFamily="18" charset="0"/>
              </a:rPr>
              <a:t>B</a:t>
            </a:r>
          </a:p>
        </c:rich>
      </c:tx>
      <c:layout>
        <c:manualLayout>
          <c:xMode val="edge"/>
          <c:yMode val="edge"/>
          <c:x val="2.150867505198223E-3"/>
          <c:y val="1.2944983818770227E-2"/>
        </c:manualLayout>
      </c:layout>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25332421794572041"/>
          <c:y val="0.13967296123382769"/>
          <c:w val="0.68102353683062344"/>
          <c:h val="0.64830853081163897"/>
        </c:manualLayout>
      </c:layout>
      <c:lineChart>
        <c:grouping val="standard"/>
        <c:ser>
          <c:idx val="0"/>
          <c:order val="0"/>
          <c:tx>
            <c:strRef>
              <c:f>Sheet1!$B$28</c:f>
              <c:strCache>
                <c:ptCount val="1"/>
                <c:pt idx="0">
                  <c:v>1 (Temoin)</c:v>
                </c:pt>
              </c:strCache>
            </c:strRef>
          </c:tx>
          <c:spPr>
            <a:ln w="12700"/>
          </c:spPr>
          <c:errBars>
            <c:errDir val="y"/>
            <c:errBarType val="both"/>
            <c:errValType val="cust"/>
            <c:plus>
              <c:numRef>
                <c:f>Sheet1!$I$29:$M$29</c:f>
                <c:numCache>
                  <c:formatCode>General</c:formatCode>
                  <c:ptCount val="5"/>
                  <c:pt idx="0">
                    <c:v>3.0000000000000002E-2</c:v>
                  </c:pt>
                  <c:pt idx="1">
                    <c:v>3.1000000000000052E-2</c:v>
                  </c:pt>
                  <c:pt idx="2">
                    <c:v>3.0000000000000002E-2</c:v>
                  </c:pt>
                  <c:pt idx="3">
                    <c:v>1.2E-2</c:v>
                  </c:pt>
                  <c:pt idx="4">
                    <c:v>2.7000000000000159E-2</c:v>
                  </c:pt>
                </c:numCache>
              </c:numRef>
            </c:plus>
            <c:minus>
              <c:numRef>
                <c:f>Sheet1!$I$29:$M$29</c:f>
                <c:numCache>
                  <c:formatCode>General</c:formatCode>
                  <c:ptCount val="5"/>
                  <c:pt idx="0">
                    <c:v>3.0000000000000002E-2</c:v>
                  </c:pt>
                  <c:pt idx="1">
                    <c:v>3.1000000000000052E-2</c:v>
                  </c:pt>
                  <c:pt idx="2">
                    <c:v>3.0000000000000002E-2</c:v>
                  </c:pt>
                  <c:pt idx="3">
                    <c:v>1.2E-2</c:v>
                  </c:pt>
                  <c:pt idx="4">
                    <c:v>2.7000000000000159E-2</c:v>
                  </c:pt>
                </c:numCache>
              </c:numRef>
            </c:minus>
          </c:errBars>
          <c:cat>
            <c:strRef>
              <c:f>Sheet1!$A$29:$A$32</c:f>
              <c:strCache>
                <c:ptCount val="4"/>
                <c:pt idx="0">
                  <c:v>T0</c:v>
                </c:pt>
                <c:pt idx="1">
                  <c:v>T1</c:v>
                </c:pt>
                <c:pt idx="2">
                  <c:v>T2</c:v>
                </c:pt>
                <c:pt idx="3">
                  <c:v> T3</c:v>
                </c:pt>
              </c:strCache>
            </c:strRef>
          </c:cat>
          <c:val>
            <c:numRef>
              <c:f>Sheet1!$B$29:$B$32</c:f>
              <c:numCache>
                <c:formatCode>General</c:formatCode>
                <c:ptCount val="4"/>
                <c:pt idx="0">
                  <c:v>6.96</c:v>
                </c:pt>
                <c:pt idx="1">
                  <c:v>8.01</c:v>
                </c:pt>
                <c:pt idx="2">
                  <c:v>8.67</c:v>
                </c:pt>
                <c:pt idx="3">
                  <c:v>9.66</c:v>
                </c:pt>
              </c:numCache>
            </c:numRef>
          </c:val>
        </c:ser>
        <c:ser>
          <c:idx val="1"/>
          <c:order val="1"/>
          <c:tx>
            <c:strRef>
              <c:f>Sheet1!$C$28</c:f>
              <c:strCache>
                <c:ptCount val="1"/>
                <c:pt idx="0">
                  <c:v>2 (Lactoserum)</c:v>
                </c:pt>
              </c:strCache>
            </c:strRef>
          </c:tx>
          <c:spPr>
            <a:ln w="12700">
              <a:solidFill>
                <a:srgbClr val="FF9900"/>
              </a:solidFill>
            </a:ln>
          </c:spPr>
          <c:marker>
            <c:spPr>
              <a:solidFill>
                <a:srgbClr val="FF9900"/>
              </a:solidFill>
              <a:ln>
                <a:solidFill>
                  <a:srgbClr val="FF9900"/>
                </a:solidFill>
              </a:ln>
            </c:spPr>
          </c:marker>
          <c:errBars>
            <c:errDir val="y"/>
            <c:errBarType val="both"/>
            <c:errValType val="cust"/>
            <c:plus>
              <c:numRef>
                <c:f>Sheet1!$I$30:$M$30</c:f>
                <c:numCache>
                  <c:formatCode>General</c:formatCode>
                  <c:ptCount val="5"/>
                  <c:pt idx="0">
                    <c:v>3.9000000000000014E-2</c:v>
                  </c:pt>
                  <c:pt idx="1">
                    <c:v>4.9000000000000113E-2</c:v>
                  </c:pt>
                  <c:pt idx="2">
                    <c:v>3.9000000000000014E-2</c:v>
                  </c:pt>
                  <c:pt idx="3">
                    <c:v>3.3000000000000002E-2</c:v>
                  </c:pt>
                  <c:pt idx="4">
                    <c:v>2.1000000000000012E-2</c:v>
                  </c:pt>
                </c:numCache>
              </c:numRef>
            </c:plus>
            <c:minus>
              <c:numRef>
                <c:f>Sheet1!$I$30:$M$30</c:f>
                <c:numCache>
                  <c:formatCode>General</c:formatCode>
                  <c:ptCount val="5"/>
                  <c:pt idx="0">
                    <c:v>3.9000000000000014E-2</c:v>
                  </c:pt>
                  <c:pt idx="1">
                    <c:v>4.9000000000000113E-2</c:v>
                  </c:pt>
                  <c:pt idx="2">
                    <c:v>3.9000000000000014E-2</c:v>
                  </c:pt>
                  <c:pt idx="3">
                    <c:v>3.3000000000000002E-2</c:v>
                  </c:pt>
                  <c:pt idx="4">
                    <c:v>2.1000000000000012E-2</c:v>
                  </c:pt>
                </c:numCache>
              </c:numRef>
            </c:minus>
          </c:errBars>
          <c:cat>
            <c:strRef>
              <c:f>Sheet1!$A$29:$A$32</c:f>
              <c:strCache>
                <c:ptCount val="4"/>
                <c:pt idx="0">
                  <c:v>T0</c:v>
                </c:pt>
                <c:pt idx="1">
                  <c:v>T1</c:v>
                </c:pt>
                <c:pt idx="2">
                  <c:v>T2</c:v>
                </c:pt>
                <c:pt idx="3">
                  <c:v> T3</c:v>
                </c:pt>
              </c:strCache>
            </c:strRef>
          </c:cat>
          <c:val>
            <c:numRef>
              <c:f>Sheet1!$C$29:$C$32</c:f>
              <c:numCache>
                <c:formatCode>General</c:formatCode>
                <c:ptCount val="4"/>
                <c:pt idx="0">
                  <c:v>6.98</c:v>
                </c:pt>
                <c:pt idx="1">
                  <c:v>8.5300000000000011</c:v>
                </c:pt>
                <c:pt idx="2">
                  <c:v>9.31</c:v>
                </c:pt>
                <c:pt idx="3">
                  <c:v>10.16</c:v>
                </c:pt>
              </c:numCache>
            </c:numRef>
          </c:val>
        </c:ser>
        <c:ser>
          <c:idx val="2"/>
          <c:order val="2"/>
          <c:tx>
            <c:strRef>
              <c:f>Sheet1!$D$28</c:f>
              <c:strCache>
                <c:ptCount val="1"/>
                <c:pt idx="0">
                  <c:v>3 (Promilk)</c:v>
                </c:pt>
              </c:strCache>
            </c:strRef>
          </c:tx>
          <c:spPr>
            <a:ln w="12700">
              <a:solidFill>
                <a:srgbClr val="92D050"/>
              </a:solidFill>
            </a:ln>
          </c:spPr>
          <c:marker>
            <c:spPr>
              <a:solidFill>
                <a:srgbClr val="92D050"/>
              </a:solidFill>
              <a:ln>
                <a:solidFill>
                  <a:srgbClr val="92D050"/>
                </a:solidFill>
              </a:ln>
            </c:spPr>
          </c:marker>
          <c:errBars>
            <c:errDir val="y"/>
            <c:errBarType val="both"/>
            <c:errValType val="cust"/>
            <c:plus>
              <c:numRef>
                <c:f>Sheet1!$I$31:$M$31</c:f>
                <c:numCache>
                  <c:formatCode>General</c:formatCode>
                  <c:ptCount val="5"/>
                  <c:pt idx="0">
                    <c:v>4.3000000000000003E-2</c:v>
                  </c:pt>
                  <c:pt idx="1">
                    <c:v>3.3000000000000002E-2</c:v>
                  </c:pt>
                  <c:pt idx="2">
                    <c:v>2.3E-2</c:v>
                  </c:pt>
                  <c:pt idx="3">
                    <c:v>2.9000000000000001E-2</c:v>
                  </c:pt>
                  <c:pt idx="4">
                    <c:v>2.0000000000000011E-2</c:v>
                  </c:pt>
                </c:numCache>
              </c:numRef>
            </c:plus>
            <c:minus>
              <c:numRef>
                <c:f>Sheet1!$I$31:$M$31</c:f>
                <c:numCache>
                  <c:formatCode>General</c:formatCode>
                  <c:ptCount val="5"/>
                  <c:pt idx="0">
                    <c:v>4.3000000000000003E-2</c:v>
                  </c:pt>
                  <c:pt idx="1">
                    <c:v>3.3000000000000002E-2</c:v>
                  </c:pt>
                  <c:pt idx="2">
                    <c:v>2.3E-2</c:v>
                  </c:pt>
                  <c:pt idx="3">
                    <c:v>2.9000000000000001E-2</c:v>
                  </c:pt>
                  <c:pt idx="4">
                    <c:v>2.0000000000000011E-2</c:v>
                  </c:pt>
                </c:numCache>
              </c:numRef>
            </c:minus>
          </c:errBars>
          <c:cat>
            <c:strRef>
              <c:f>Sheet1!$A$29:$A$32</c:f>
              <c:strCache>
                <c:ptCount val="4"/>
                <c:pt idx="0">
                  <c:v>T0</c:v>
                </c:pt>
                <c:pt idx="1">
                  <c:v>T1</c:v>
                </c:pt>
                <c:pt idx="2">
                  <c:v>T2</c:v>
                </c:pt>
                <c:pt idx="3">
                  <c:v> T3</c:v>
                </c:pt>
              </c:strCache>
            </c:strRef>
          </c:cat>
          <c:val>
            <c:numRef>
              <c:f>Sheet1!$D$29:$D$32</c:f>
              <c:numCache>
                <c:formatCode>General</c:formatCode>
                <c:ptCount val="4"/>
                <c:pt idx="0">
                  <c:v>6.98</c:v>
                </c:pt>
                <c:pt idx="1">
                  <c:v>8.15</c:v>
                </c:pt>
                <c:pt idx="2">
                  <c:v>8.93</c:v>
                </c:pt>
                <c:pt idx="3">
                  <c:v>9.81</c:v>
                </c:pt>
              </c:numCache>
            </c:numRef>
          </c:val>
        </c:ser>
        <c:ser>
          <c:idx val="3"/>
          <c:order val="3"/>
          <c:tx>
            <c:strRef>
              <c:f>Sheet1!$E$28</c:f>
              <c:strCache>
                <c:ptCount val="1"/>
                <c:pt idx="0">
                  <c:v>4 (H. Caseine)</c:v>
                </c:pt>
              </c:strCache>
            </c:strRef>
          </c:tx>
          <c:spPr>
            <a:ln w="12700">
              <a:solidFill>
                <a:srgbClr val="990099"/>
              </a:solidFill>
            </a:ln>
          </c:spPr>
          <c:marker>
            <c:spPr>
              <a:solidFill>
                <a:srgbClr val="990099"/>
              </a:solidFill>
              <a:ln>
                <a:solidFill>
                  <a:srgbClr val="990099"/>
                </a:solidFill>
              </a:ln>
            </c:spPr>
          </c:marker>
          <c:errBars>
            <c:errDir val="y"/>
            <c:errBarType val="both"/>
            <c:errValType val="cust"/>
            <c:plus>
              <c:numRef>
                <c:f>Sheet1!$I$32:$M$32</c:f>
                <c:numCache>
                  <c:formatCode>General</c:formatCode>
                  <c:ptCount val="5"/>
                  <c:pt idx="0">
                    <c:v>3.2000000000000042E-2</c:v>
                  </c:pt>
                  <c:pt idx="1">
                    <c:v>5.1000000000000004E-2</c:v>
                  </c:pt>
                  <c:pt idx="2">
                    <c:v>2.7000000000000159E-2</c:v>
                  </c:pt>
                  <c:pt idx="3">
                    <c:v>1.9000000000000111E-2</c:v>
                  </c:pt>
                  <c:pt idx="4">
                    <c:v>4.5999999999999999E-2</c:v>
                  </c:pt>
                </c:numCache>
              </c:numRef>
            </c:plus>
            <c:minus>
              <c:numRef>
                <c:f>Sheet1!$I$32:$M$32</c:f>
                <c:numCache>
                  <c:formatCode>General</c:formatCode>
                  <c:ptCount val="5"/>
                  <c:pt idx="0">
                    <c:v>3.2000000000000042E-2</c:v>
                  </c:pt>
                  <c:pt idx="1">
                    <c:v>5.1000000000000004E-2</c:v>
                  </c:pt>
                  <c:pt idx="2">
                    <c:v>2.7000000000000159E-2</c:v>
                  </c:pt>
                  <c:pt idx="3">
                    <c:v>1.9000000000000111E-2</c:v>
                  </c:pt>
                  <c:pt idx="4">
                    <c:v>4.5999999999999999E-2</c:v>
                  </c:pt>
                </c:numCache>
              </c:numRef>
            </c:minus>
          </c:errBars>
          <c:cat>
            <c:strRef>
              <c:f>Sheet1!$A$29:$A$32</c:f>
              <c:strCache>
                <c:ptCount val="4"/>
                <c:pt idx="0">
                  <c:v>T0</c:v>
                </c:pt>
                <c:pt idx="1">
                  <c:v>T1</c:v>
                </c:pt>
                <c:pt idx="2">
                  <c:v>T2</c:v>
                </c:pt>
                <c:pt idx="3">
                  <c:v> T3</c:v>
                </c:pt>
              </c:strCache>
            </c:strRef>
          </c:cat>
          <c:val>
            <c:numRef>
              <c:f>Sheet1!$E$29:$E$32</c:f>
              <c:numCache>
                <c:formatCode>General</c:formatCode>
                <c:ptCount val="4"/>
                <c:pt idx="0">
                  <c:v>6.99</c:v>
                </c:pt>
                <c:pt idx="1">
                  <c:v>8.25</c:v>
                </c:pt>
                <c:pt idx="2">
                  <c:v>8.99</c:v>
                </c:pt>
                <c:pt idx="3">
                  <c:v>9.8800000000000008</c:v>
                </c:pt>
              </c:numCache>
            </c:numRef>
          </c:val>
        </c:ser>
        <c:ser>
          <c:idx val="4"/>
          <c:order val="4"/>
          <c:tx>
            <c:strRef>
              <c:f>Sheet1!$F$28</c:f>
              <c:strCache>
                <c:ptCount val="1"/>
                <c:pt idx="0">
                  <c:v>5 (H. Proteine)</c:v>
                </c:pt>
              </c:strCache>
            </c:strRef>
          </c:tx>
          <c:spPr>
            <a:ln w="12700">
              <a:solidFill>
                <a:srgbClr val="FF33CC"/>
              </a:solidFill>
            </a:ln>
          </c:spPr>
          <c:marker>
            <c:symbol val="circle"/>
            <c:size val="4"/>
            <c:spPr>
              <a:solidFill>
                <a:srgbClr val="FF33CC"/>
              </a:solidFill>
              <a:ln>
                <a:solidFill>
                  <a:srgbClr val="FF33CC"/>
                </a:solidFill>
              </a:ln>
            </c:spPr>
          </c:marker>
          <c:cat>
            <c:strRef>
              <c:f>Sheet1!$A$29:$A$32</c:f>
              <c:strCache>
                <c:ptCount val="4"/>
                <c:pt idx="0">
                  <c:v>T0</c:v>
                </c:pt>
                <c:pt idx="1">
                  <c:v>T1</c:v>
                </c:pt>
                <c:pt idx="2">
                  <c:v>T2</c:v>
                </c:pt>
                <c:pt idx="3">
                  <c:v> T3</c:v>
                </c:pt>
              </c:strCache>
            </c:strRef>
          </c:cat>
          <c:val>
            <c:numRef>
              <c:f>Sheet1!$F$29:$F$32</c:f>
              <c:numCache>
                <c:formatCode>General</c:formatCode>
                <c:ptCount val="4"/>
                <c:pt idx="0">
                  <c:v>6.98</c:v>
                </c:pt>
                <c:pt idx="1">
                  <c:v>8.39</c:v>
                </c:pt>
                <c:pt idx="2">
                  <c:v>9.34</c:v>
                </c:pt>
                <c:pt idx="3">
                  <c:v>10.14</c:v>
                </c:pt>
              </c:numCache>
            </c:numRef>
          </c:val>
        </c:ser>
        <c:marker val="1"/>
        <c:axId val="60196736"/>
        <c:axId val="60207488"/>
      </c:lineChart>
      <c:catAx>
        <c:axId val="60196736"/>
        <c:scaling>
          <c:orientation val="minMax"/>
        </c:scaling>
        <c:axPos val="b"/>
        <c:title>
          <c:tx>
            <c:rich>
              <a:bodyPr/>
              <a:lstStyle/>
              <a:p>
                <a:pPr>
                  <a:defRPr>
                    <a:latin typeface="Times New Roman" pitchFamily="18" charset="0"/>
                    <a:cs typeface="Times New Roman" pitchFamily="18" charset="0"/>
                  </a:defRPr>
                </a:pPr>
                <a:r>
                  <a:rPr lang="en-US">
                    <a:latin typeface="Times New Roman" pitchFamily="18" charset="0"/>
                    <a:cs typeface="Times New Roman" pitchFamily="18" charset="0"/>
                  </a:rPr>
                  <a:t>Temps (h)</a:t>
                </a:r>
              </a:p>
            </c:rich>
          </c:tx>
          <c:layout>
            <c:manualLayout>
              <c:xMode val="edge"/>
              <c:yMode val="edge"/>
              <c:x val="0.46473116299059103"/>
              <c:y val="0.91445427728613571"/>
            </c:manualLayout>
          </c:layout>
        </c:title>
        <c:numFmt formatCode="General" sourceLinked="1"/>
        <c:tickLblPos val="nextTo"/>
        <c:spPr>
          <a:ln w="9525">
            <a:solidFill>
              <a:sysClr val="windowText" lastClr="000000"/>
            </a:solidFill>
          </a:ln>
        </c:spPr>
        <c:txPr>
          <a:bodyPr/>
          <a:lstStyle/>
          <a:p>
            <a:pPr>
              <a:defRPr b="1" i="0" baseline="0"/>
            </a:pPr>
            <a:endParaRPr lang="fr-FR"/>
          </a:p>
        </c:txPr>
        <c:crossAx val="60207488"/>
        <c:crosses val="autoZero"/>
        <c:auto val="1"/>
        <c:lblAlgn val="ctr"/>
        <c:lblOffset val="100"/>
      </c:catAx>
      <c:valAx>
        <c:axId val="60207488"/>
        <c:scaling>
          <c:orientation val="minMax"/>
          <c:max val="10.5"/>
          <c:min val="6.5"/>
        </c:scaling>
        <c:axPos val="l"/>
        <c:title>
          <c:tx>
            <c:rich>
              <a:bodyPr rot="-5400000" vert="horz"/>
              <a:lstStyle/>
              <a:p>
                <a:pPr>
                  <a:defRPr>
                    <a:latin typeface="Times New Roman" pitchFamily="18" charset="0"/>
                    <a:cs typeface="Times New Roman" pitchFamily="18" charset="0"/>
                  </a:defRPr>
                </a:pPr>
                <a:r>
                  <a:rPr lang="en-US">
                    <a:latin typeface="Times New Roman" pitchFamily="18" charset="0"/>
                    <a:cs typeface="Times New Roman" pitchFamily="18" charset="0"/>
                  </a:rPr>
                  <a:t>log UFC/ml</a:t>
                </a:r>
              </a:p>
            </c:rich>
          </c:tx>
          <c:layout/>
        </c:title>
        <c:numFmt formatCode="General" sourceLinked="1"/>
        <c:tickLblPos val="nextTo"/>
        <c:spPr>
          <a:ln w="9525">
            <a:solidFill>
              <a:sysClr val="windowText" lastClr="000000"/>
            </a:solidFill>
          </a:ln>
        </c:spPr>
        <c:txPr>
          <a:bodyPr/>
          <a:lstStyle/>
          <a:p>
            <a:pPr>
              <a:defRPr b="1" i="0" baseline="0"/>
            </a:pPr>
            <a:endParaRPr lang="fr-FR"/>
          </a:p>
        </c:txPr>
        <c:crossAx val="60196736"/>
        <c:crosses val="autoZero"/>
        <c:crossBetween val="midCat"/>
        <c:majorUnit val="0.5"/>
      </c:valAx>
    </c:plotArea>
    <c:plotVisOnly val="1"/>
    <c:dispBlanksAs val="gap"/>
  </c:chart>
  <c:spPr>
    <a:ln>
      <a:solidFill>
        <a:schemeClr val="bg1"/>
      </a:solidFill>
    </a:ln>
  </c:spPr>
  <c:externalData r:id="rId1"/>
  <c:userShapes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a:pPr>
            <a:r>
              <a:rPr lang="fr-FR"/>
              <a:t>E</a:t>
            </a:r>
          </a:p>
        </c:rich>
      </c:tx>
      <c:layout>
        <c:manualLayout>
          <c:xMode val="edge"/>
          <c:yMode val="edge"/>
          <c:x val="2.1971455326526301E-4"/>
          <c:y val="0"/>
        </c:manualLayout>
      </c:layout>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25140591808254431"/>
          <c:y val="0.13210709304020171"/>
          <c:w val="0.69382810199572509"/>
          <c:h val="0.67240385996526553"/>
        </c:manualLayout>
      </c:layout>
      <c:lineChart>
        <c:grouping val="standard"/>
        <c:ser>
          <c:idx val="0"/>
          <c:order val="0"/>
          <c:tx>
            <c:strRef>
              <c:f>Sheet1!$B$20</c:f>
              <c:strCache>
                <c:ptCount val="1"/>
                <c:pt idx="0">
                  <c:v>1 (Temoin)</c:v>
                </c:pt>
              </c:strCache>
            </c:strRef>
          </c:tx>
          <c:spPr>
            <a:ln w="12700"/>
          </c:spPr>
          <c:errBars>
            <c:errDir val="y"/>
            <c:errBarType val="both"/>
            <c:errValType val="cust"/>
            <c:plus>
              <c:numRef>
                <c:f>Sheet2!$I$43:$I$46</c:f>
                <c:numCache>
                  <c:formatCode>General</c:formatCode>
                  <c:ptCount val="4"/>
                  <c:pt idx="0">
                    <c:v>4.1000000000000002E-2</c:v>
                  </c:pt>
                  <c:pt idx="1">
                    <c:v>3.9000000000000014E-2</c:v>
                  </c:pt>
                  <c:pt idx="2">
                    <c:v>4.3999999999999997E-2</c:v>
                  </c:pt>
                  <c:pt idx="3">
                    <c:v>2.9000000000000001E-2</c:v>
                  </c:pt>
                </c:numCache>
              </c:numRef>
            </c:plus>
            <c:minus>
              <c:numRef>
                <c:f>Sheet2!$I$43:$I$46</c:f>
                <c:numCache>
                  <c:formatCode>General</c:formatCode>
                  <c:ptCount val="4"/>
                  <c:pt idx="0">
                    <c:v>4.1000000000000002E-2</c:v>
                  </c:pt>
                  <c:pt idx="1">
                    <c:v>3.9000000000000014E-2</c:v>
                  </c:pt>
                  <c:pt idx="2">
                    <c:v>4.3999999999999997E-2</c:v>
                  </c:pt>
                  <c:pt idx="3">
                    <c:v>2.9000000000000001E-2</c:v>
                  </c:pt>
                </c:numCache>
              </c:numRef>
            </c:minus>
          </c:errBars>
          <c:cat>
            <c:strRef>
              <c:f>Sheet1!$A$21:$A$24</c:f>
              <c:strCache>
                <c:ptCount val="4"/>
                <c:pt idx="0">
                  <c:v>T0</c:v>
                </c:pt>
                <c:pt idx="1">
                  <c:v>T1</c:v>
                </c:pt>
                <c:pt idx="2">
                  <c:v>T2</c:v>
                </c:pt>
                <c:pt idx="3">
                  <c:v>T3</c:v>
                </c:pt>
              </c:strCache>
            </c:strRef>
          </c:cat>
          <c:val>
            <c:numRef>
              <c:f>Sheet1!$B$21:$B$24</c:f>
              <c:numCache>
                <c:formatCode>General</c:formatCode>
                <c:ptCount val="4"/>
                <c:pt idx="0">
                  <c:v>6.9700000000000024</c:v>
                </c:pt>
                <c:pt idx="1">
                  <c:v>7.9700000000000024</c:v>
                </c:pt>
                <c:pt idx="2">
                  <c:v>8.52</c:v>
                </c:pt>
                <c:pt idx="3">
                  <c:v>9.2399999999999984</c:v>
                </c:pt>
              </c:numCache>
            </c:numRef>
          </c:val>
        </c:ser>
        <c:ser>
          <c:idx val="1"/>
          <c:order val="1"/>
          <c:tx>
            <c:strRef>
              <c:f>Sheet1!$C$20</c:f>
              <c:strCache>
                <c:ptCount val="1"/>
                <c:pt idx="0">
                  <c:v>2 (Lactoserum)</c:v>
                </c:pt>
              </c:strCache>
            </c:strRef>
          </c:tx>
          <c:spPr>
            <a:ln w="12700">
              <a:solidFill>
                <a:srgbClr val="FF9900"/>
              </a:solidFill>
            </a:ln>
          </c:spPr>
          <c:marker>
            <c:symbol val="square"/>
            <c:size val="4"/>
            <c:spPr>
              <a:solidFill>
                <a:srgbClr val="FF9900"/>
              </a:solidFill>
              <a:ln>
                <a:solidFill>
                  <a:srgbClr val="FF9900"/>
                </a:solidFill>
              </a:ln>
            </c:spPr>
          </c:marker>
          <c:errBars>
            <c:errDir val="y"/>
            <c:errBarType val="both"/>
            <c:errValType val="cust"/>
            <c:plus>
              <c:numRef>
                <c:f>Sheet2!$K$43:$K$46</c:f>
                <c:numCache>
                  <c:formatCode>General</c:formatCode>
                  <c:ptCount val="4"/>
                  <c:pt idx="0">
                    <c:v>3.0000000000000002E-2</c:v>
                  </c:pt>
                  <c:pt idx="1">
                    <c:v>1.90000000000001E-2</c:v>
                  </c:pt>
                  <c:pt idx="2">
                    <c:v>3.5999999999999997E-2</c:v>
                  </c:pt>
                  <c:pt idx="3">
                    <c:v>3.9000000000000014E-2</c:v>
                  </c:pt>
                </c:numCache>
              </c:numRef>
            </c:plus>
            <c:minus>
              <c:numRef>
                <c:f>Sheet2!$J$43:$J$46</c:f>
                <c:numCache>
                  <c:formatCode>General</c:formatCode>
                  <c:ptCount val="4"/>
                  <c:pt idx="0">
                    <c:v>3.0000000000000002E-2</c:v>
                  </c:pt>
                  <c:pt idx="1">
                    <c:v>2.1999999999999999E-2</c:v>
                  </c:pt>
                  <c:pt idx="2">
                    <c:v>2.5000000000000001E-2</c:v>
                  </c:pt>
                  <c:pt idx="3">
                    <c:v>2.5999999999999999E-2</c:v>
                  </c:pt>
                </c:numCache>
              </c:numRef>
            </c:minus>
          </c:errBars>
          <c:cat>
            <c:strRef>
              <c:f>Sheet1!$A$21:$A$24</c:f>
              <c:strCache>
                <c:ptCount val="4"/>
                <c:pt idx="0">
                  <c:v>T0</c:v>
                </c:pt>
                <c:pt idx="1">
                  <c:v>T1</c:v>
                </c:pt>
                <c:pt idx="2">
                  <c:v>T2</c:v>
                </c:pt>
                <c:pt idx="3">
                  <c:v>T3</c:v>
                </c:pt>
              </c:strCache>
            </c:strRef>
          </c:cat>
          <c:val>
            <c:numRef>
              <c:f>Sheet1!$C$21:$C$24</c:f>
              <c:numCache>
                <c:formatCode>General</c:formatCode>
                <c:ptCount val="4"/>
                <c:pt idx="0">
                  <c:v>6.99</c:v>
                </c:pt>
                <c:pt idx="1">
                  <c:v>8.2100000000000009</c:v>
                </c:pt>
                <c:pt idx="2">
                  <c:v>9.17</c:v>
                </c:pt>
                <c:pt idx="3">
                  <c:v>10.08</c:v>
                </c:pt>
              </c:numCache>
            </c:numRef>
          </c:val>
        </c:ser>
        <c:ser>
          <c:idx val="2"/>
          <c:order val="2"/>
          <c:tx>
            <c:strRef>
              <c:f>Sheet1!$D$20</c:f>
              <c:strCache>
                <c:ptCount val="1"/>
                <c:pt idx="0">
                  <c:v>3 (Promilk)</c:v>
                </c:pt>
              </c:strCache>
            </c:strRef>
          </c:tx>
          <c:spPr>
            <a:ln w="12700">
              <a:solidFill>
                <a:srgbClr val="92D050"/>
              </a:solidFill>
            </a:ln>
          </c:spPr>
          <c:marker>
            <c:spPr>
              <a:solidFill>
                <a:srgbClr val="92D050"/>
              </a:solidFill>
              <a:ln>
                <a:solidFill>
                  <a:srgbClr val="92D050"/>
                </a:solidFill>
              </a:ln>
            </c:spPr>
          </c:marker>
          <c:errBars>
            <c:errDir val="y"/>
            <c:errBarType val="both"/>
            <c:errValType val="cust"/>
            <c:plus>
              <c:numRef>
                <c:f>Sheet1!$I$23:$M$23</c:f>
                <c:numCache>
                  <c:formatCode>General</c:formatCode>
                  <c:ptCount val="5"/>
                  <c:pt idx="0">
                    <c:v>4.3999999999999997E-2</c:v>
                  </c:pt>
                  <c:pt idx="1">
                    <c:v>2.5000000000000001E-2</c:v>
                  </c:pt>
                  <c:pt idx="2">
                    <c:v>3.5999999999999997E-2</c:v>
                  </c:pt>
                  <c:pt idx="3">
                    <c:v>3.7999999999999999E-2</c:v>
                  </c:pt>
                  <c:pt idx="4">
                    <c:v>1.90000000000001E-2</c:v>
                  </c:pt>
                </c:numCache>
              </c:numRef>
            </c:plus>
            <c:minus>
              <c:numRef>
                <c:f>Sheet1!$I$23:$M$23</c:f>
                <c:numCache>
                  <c:formatCode>General</c:formatCode>
                  <c:ptCount val="5"/>
                  <c:pt idx="0">
                    <c:v>4.3999999999999997E-2</c:v>
                  </c:pt>
                  <c:pt idx="1">
                    <c:v>2.5000000000000001E-2</c:v>
                  </c:pt>
                  <c:pt idx="2">
                    <c:v>3.5999999999999997E-2</c:v>
                  </c:pt>
                  <c:pt idx="3">
                    <c:v>3.7999999999999999E-2</c:v>
                  </c:pt>
                  <c:pt idx="4">
                    <c:v>1.90000000000001E-2</c:v>
                  </c:pt>
                </c:numCache>
              </c:numRef>
            </c:minus>
          </c:errBars>
          <c:cat>
            <c:strRef>
              <c:f>Sheet1!$A$21:$A$24</c:f>
              <c:strCache>
                <c:ptCount val="4"/>
                <c:pt idx="0">
                  <c:v>T0</c:v>
                </c:pt>
                <c:pt idx="1">
                  <c:v>T1</c:v>
                </c:pt>
                <c:pt idx="2">
                  <c:v>T2</c:v>
                </c:pt>
                <c:pt idx="3">
                  <c:v>T3</c:v>
                </c:pt>
              </c:strCache>
            </c:strRef>
          </c:cat>
          <c:val>
            <c:numRef>
              <c:f>Sheet1!$D$21:$D$24</c:f>
              <c:numCache>
                <c:formatCode>General</c:formatCode>
                <c:ptCount val="4"/>
                <c:pt idx="0">
                  <c:v>6.9700000000000024</c:v>
                </c:pt>
                <c:pt idx="1">
                  <c:v>8.06</c:v>
                </c:pt>
                <c:pt idx="2">
                  <c:v>8.75</c:v>
                </c:pt>
                <c:pt idx="3">
                  <c:v>9.4700000000000006</c:v>
                </c:pt>
              </c:numCache>
            </c:numRef>
          </c:val>
        </c:ser>
        <c:ser>
          <c:idx val="3"/>
          <c:order val="3"/>
          <c:tx>
            <c:strRef>
              <c:f>Sheet1!$E$20</c:f>
              <c:strCache>
                <c:ptCount val="1"/>
                <c:pt idx="0">
                  <c:v>4 (H. Caseine)</c:v>
                </c:pt>
              </c:strCache>
            </c:strRef>
          </c:tx>
          <c:spPr>
            <a:ln w="12700">
              <a:solidFill>
                <a:srgbClr val="990099"/>
              </a:solidFill>
            </a:ln>
          </c:spPr>
          <c:marker>
            <c:spPr>
              <a:solidFill>
                <a:srgbClr val="990099"/>
              </a:solidFill>
              <a:ln>
                <a:solidFill>
                  <a:srgbClr val="990099"/>
                </a:solidFill>
              </a:ln>
            </c:spPr>
          </c:marker>
          <c:errBars>
            <c:errDir val="y"/>
            <c:errBarType val="both"/>
            <c:errValType val="cust"/>
            <c:plus>
              <c:numRef>
                <c:f>Sheet1!$I$24:$M$24</c:f>
                <c:numCache>
                  <c:formatCode>General</c:formatCode>
                  <c:ptCount val="5"/>
                  <c:pt idx="0">
                    <c:v>2.9000000000000001E-2</c:v>
                  </c:pt>
                  <c:pt idx="1">
                    <c:v>2.5999999999999999E-2</c:v>
                  </c:pt>
                  <c:pt idx="2">
                    <c:v>3.9000000000000014E-2</c:v>
                  </c:pt>
                  <c:pt idx="3">
                    <c:v>5.7000000000000023E-2</c:v>
                  </c:pt>
                  <c:pt idx="4">
                    <c:v>2.9000000000000001E-2</c:v>
                  </c:pt>
                </c:numCache>
              </c:numRef>
            </c:plus>
            <c:minus>
              <c:numRef>
                <c:f>Sheet1!$I$24:$M$24</c:f>
                <c:numCache>
                  <c:formatCode>General</c:formatCode>
                  <c:ptCount val="5"/>
                  <c:pt idx="0">
                    <c:v>2.9000000000000001E-2</c:v>
                  </c:pt>
                  <c:pt idx="1">
                    <c:v>2.5999999999999999E-2</c:v>
                  </c:pt>
                  <c:pt idx="2">
                    <c:v>3.9000000000000014E-2</c:v>
                  </c:pt>
                  <c:pt idx="3">
                    <c:v>5.7000000000000023E-2</c:v>
                  </c:pt>
                  <c:pt idx="4">
                    <c:v>2.9000000000000001E-2</c:v>
                  </c:pt>
                </c:numCache>
              </c:numRef>
            </c:minus>
          </c:errBars>
          <c:cat>
            <c:strRef>
              <c:f>Sheet1!$A$21:$A$24</c:f>
              <c:strCache>
                <c:ptCount val="4"/>
                <c:pt idx="0">
                  <c:v>T0</c:v>
                </c:pt>
                <c:pt idx="1">
                  <c:v>T1</c:v>
                </c:pt>
                <c:pt idx="2">
                  <c:v>T2</c:v>
                </c:pt>
                <c:pt idx="3">
                  <c:v>T3</c:v>
                </c:pt>
              </c:strCache>
            </c:strRef>
          </c:cat>
          <c:val>
            <c:numRef>
              <c:f>Sheet1!$E$21:$E$24</c:f>
              <c:numCache>
                <c:formatCode>General</c:formatCode>
                <c:ptCount val="4"/>
                <c:pt idx="0">
                  <c:v>6.98</c:v>
                </c:pt>
                <c:pt idx="1">
                  <c:v>8.09</c:v>
                </c:pt>
                <c:pt idx="2">
                  <c:v>8.6399999999999988</c:v>
                </c:pt>
                <c:pt idx="3">
                  <c:v>9.5400000000000009</c:v>
                </c:pt>
              </c:numCache>
            </c:numRef>
          </c:val>
        </c:ser>
        <c:ser>
          <c:idx val="4"/>
          <c:order val="4"/>
          <c:tx>
            <c:strRef>
              <c:f>Sheet1!$F$20</c:f>
              <c:strCache>
                <c:ptCount val="1"/>
                <c:pt idx="0">
                  <c:v>5 (H. Proteine)</c:v>
                </c:pt>
              </c:strCache>
            </c:strRef>
          </c:tx>
          <c:spPr>
            <a:ln w="12700">
              <a:solidFill>
                <a:srgbClr val="FF33CC"/>
              </a:solidFill>
            </a:ln>
          </c:spPr>
          <c:marker>
            <c:symbol val="circle"/>
            <c:size val="4"/>
            <c:spPr>
              <a:solidFill>
                <a:srgbClr val="FF33CC"/>
              </a:solidFill>
              <a:ln>
                <a:solidFill>
                  <a:srgbClr val="FF33CC"/>
                </a:solidFill>
              </a:ln>
            </c:spPr>
          </c:marker>
          <c:errBars>
            <c:errDir val="y"/>
            <c:errBarType val="both"/>
            <c:errValType val="cust"/>
            <c:plus>
              <c:numRef>
                <c:f>Sheet2!$M$43:$M$46</c:f>
                <c:numCache>
                  <c:formatCode>General</c:formatCode>
                  <c:ptCount val="4"/>
                  <c:pt idx="0">
                    <c:v>3.1000000000000052E-2</c:v>
                  </c:pt>
                  <c:pt idx="1">
                    <c:v>2.3E-2</c:v>
                  </c:pt>
                  <c:pt idx="2">
                    <c:v>1.90000000000001E-2</c:v>
                  </c:pt>
                  <c:pt idx="3">
                    <c:v>2.9000000000000001E-2</c:v>
                  </c:pt>
                </c:numCache>
              </c:numRef>
            </c:plus>
            <c:minus>
              <c:numRef>
                <c:f>Sheet2!$M$43:$M$46</c:f>
                <c:numCache>
                  <c:formatCode>General</c:formatCode>
                  <c:ptCount val="4"/>
                  <c:pt idx="0">
                    <c:v>3.1000000000000052E-2</c:v>
                  </c:pt>
                  <c:pt idx="1">
                    <c:v>2.3E-2</c:v>
                  </c:pt>
                  <c:pt idx="2">
                    <c:v>1.90000000000001E-2</c:v>
                  </c:pt>
                  <c:pt idx="3">
                    <c:v>2.9000000000000001E-2</c:v>
                  </c:pt>
                </c:numCache>
              </c:numRef>
            </c:minus>
            <c:spPr>
              <a:ln w="3175">
                <a:solidFill>
                  <a:srgbClr val="000000"/>
                </a:solidFill>
                <a:prstDash val="solid"/>
              </a:ln>
            </c:spPr>
          </c:errBars>
          <c:cat>
            <c:strRef>
              <c:f>Sheet1!$A$21:$A$24</c:f>
              <c:strCache>
                <c:ptCount val="4"/>
                <c:pt idx="0">
                  <c:v>T0</c:v>
                </c:pt>
                <c:pt idx="1">
                  <c:v>T1</c:v>
                </c:pt>
                <c:pt idx="2">
                  <c:v>T2</c:v>
                </c:pt>
                <c:pt idx="3">
                  <c:v>T3</c:v>
                </c:pt>
              </c:strCache>
            </c:strRef>
          </c:cat>
          <c:val>
            <c:numRef>
              <c:f>Sheet1!$F$21:$F$24</c:f>
              <c:numCache>
                <c:formatCode>General</c:formatCode>
                <c:ptCount val="4"/>
                <c:pt idx="0">
                  <c:v>6.98</c:v>
                </c:pt>
                <c:pt idx="1">
                  <c:v>8.2299999999999986</c:v>
                </c:pt>
                <c:pt idx="2">
                  <c:v>8.94</c:v>
                </c:pt>
                <c:pt idx="3">
                  <c:v>9.7200000000000006</c:v>
                </c:pt>
              </c:numCache>
            </c:numRef>
          </c:val>
        </c:ser>
        <c:marker val="1"/>
        <c:axId val="44480000"/>
        <c:axId val="44481536"/>
      </c:lineChart>
      <c:catAx>
        <c:axId val="44480000"/>
        <c:scaling>
          <c:orientation val="minMax"/>
        </c:scaling>
        <c:axPos val="b"/>
        <c:title>
          <c:tx>
            <c:rich>
              <a:bodyPr/>
              <a:lstStyle/>
              <a:p>
                <a:pPr>
                  <a:defRPr/>
                </a:pPr>
                <a:r>
                  <a:rPr lang="en-US"/>
                  <a:t>Temps (h)</a:t>
                </a:r>
              </a:p>
            </c:rich>
          </c:tx>
          <c:layout>
            <c:manualLayout>
              <c:xMode val="edge"/>
              <c:yMode val="edge"/>
              <c:x val="0.4808884775566884"/>
              <c:y val="0.92506459948320419"/>
            </c:manualLayout>
          </c:layout>
        </c:title>
        <c:numFmt formatCode="General" sourceLinked="1"/>
        <c:tickLblPos val="nextTo"/>
        <c:spPr>
          <a:ln w="9525">
            <a:solidFill>
              <a:schemeClr val="tx1"/>
            </a:solidFill>
          </a:ln>
        </c:spPr>
        <c:crossAx val="44481536"/>
        <c:crosses val="autoZero"/>
        <c:auto val="1"/>
        <c:lblAlgn val="ctr"/>
        <c:lblOffset val="100"/>
      </c:catAx>
      <c:valAx>
        <c:axId val="44481536"/>
        <c:scaling>
          <c:orientation val="minMax"/>
          <c:max val="10.5"/>
          <c:min val="6.5"/>
        </c:scaling>
        <c:axPos val="l"/>
        <c:title>
          <c:tx>
            <c:rich>
              <a:bodyPr rot="-5400000" vert="horz"/>
              <a:lstStyle/>
              <a:p>
                <a:pPr>
                  <a:defRPr/>
                </a:pPr>
                <a:r>
                  <a:rPr lang="en-US"/>
                  <a:t>log UFC/ml</a:t>
                </a:r>
              </a:p>
            </c:rich>
          </c:tx>
          <c:layout/>
        </c:title>
        <c:numFmt formatCode="General" sourceLinked="1"/>
        <c:tickLblPos val="nextTo"/>
        <c:spPr>
          <a:ln w="9525">
            <a:solidFill>
              <a:schemeClr val="tx1"/>
            </a:solidFill>
          </a:ln>
        </c:spPr>
        <c:crossAx val="44480000"/>
        <c:crosses val="autoZero"/>
        <c:crossBetween val="midCat"/>
        <c:majorUnit val="0.5"/>
      </c:valAx>
    </c:plotArea>
    <c:plotVisOnly val="1"/>
    <c:dispBlanksAs val="gap"/>
  </c:chart>
  <c:spPr>
    <a:ln>
      <a:solidFill>
        <a:schemeClr val="bg1"/>
      </a:solidFill>
    </a:ln>
  </c:spPr>
  <c:txPr>
    <a:bodyPr/>
    <a:lstStyle/>
    <a:p>
      <a:pPr>
        <a:defRPr b="1">
          <a:latin typeface="Times New Roman" pitchFamily="18" charset="0"/>
          <a:cs typeface="Times New Roman" pitchFamily="18" charset="0"/>
        </a:defRPr>
      </a:pPr>
      <a:endParaRPr lang="fr-FR"/>
    </a:p>
  </c:txPr>
  <c:externalData r:id="rId1"/>
  <c:userShapes r:id="rId2"/>
</c:chartSpace>
</file>

<file path=word/charts/chart20.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a:pPr>
            <a:r>
              <a:rPr lang="fr-FR" sz="1800">
                <a:latin typeface="Times New Roman" pitchFamily="18" charset="0"/>
                <a:cs typeface="Times New Roman" pitchFamily="18" charset="0"/>
              </a:rPr>
              <a:t>A</a:t>
            </a:r>
          </a:p>
        </c:rich>
      </c:tx>
      <c:layout>
        <c:manualLayout>
          <c:xMode val="edge"/>
          <c:yMode val="edge"/>
          <c:x val="3.7519275232207852E-3"/>
          <c:y val="0"/>
        </c:manualLayout>
      </c:layout>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2785011532649328"/>
          <c:y val="0.10412279379222154"/>
          <c:w val="0.66272374994520022"/>
          <c:h val="0.67088092861631765"/>
        </c:manualLayout>
      </c:layout>
      <c:lineChart>
        <c:grouping val="standard"/>
        <c:ser>
          <c:idx val="0"/>
          <c:order val="0"/>
          <c:tx>
            <c:strRef>
              <c:f>Sheet1!$B$28</c:f>
              <c:strCache>
                <c:ptCount val="1"/>
                <c:pt idx="0">
                  <c:v>1 (Temoin)</c:v>
                </c:pt>
              </c:strCache>
            </c:strRef>
          </c:tx>
          <c:spPr>
            <a:ln w="12700"/>
          </c:spPr>
          <c:errBars>
            <c:errDir val="y"/>
            <c:errBarType val="both"/>
            <c:errValType val="cust"/>
            <c:plus>
              <c:numRef>
                <c:f>Sheet2!$I$72:$I$75</c:f>
                <c:numCache>
                  <c:formatCode>General</c:formatCode>
                  <c:ptCount val="4"/>
                  <c:pt idx="0">
                    <c:v>4.8000000000000001E-2</c:v>
                  </c:pt>
                  <c:pt idx="1">
                    <c:v>3.4000000000000002E-2</c:v>
                  </c:pt>
                  <c:pt idx="2">
                    <c:v>4.3999999999999997E-2</c:v>
                  </c:pt>
                  <c:pt idx="3">
                    <c:v>7.8000000000000014E-2</c:v>
                  </c:pt>
                </c:numCache>
              </c:numRef>
            </c:plus>
            <c:minus>
              <c:numRef>
                <c:f>Sheet2!$I$75</c:f>
                <c:numCache>
                  <c:formatCode>General</c:formatCode>
                  <c:ptCount val="1"/>
                  <c:pt idx="0">
                    <c:v>7.8000000000000014E-2</c:v>
                  </c:pt>
                </c:numCache>
              </c:numRef>
            </c:minus>
          </c:errBars>
          <c:cat>
            <c:strRef>
              <c:f>Sheet1!$A$29:$A$32</c:f>
              <c:strCache>
                <c:ptCount val="4"/>
                <c:pt idx="0">
                  <c:v>T0</c:v>
                </c:pt>
                <c:pt idx="1">
                  <c:v>T1</c:v>
                </c:pt>
                <c:pt idx="2">
                  <c:v>T2</c:v>
                </c:pt>
                <c:pt idx="3">
                  <c:v> T3</c:v>
                </c:pt>
              </c:strCache>
            </c:strRef>
          </c:cat>
          <c:val>
            <c:numRef>
              <c:f>Sheet1!$B$29:$B$32</c:f>
              <c:numCache>
                <c:formatCode>General</c:formatCode>
                <c:ptCount val="4"/>
                <c:pt idx="0">
                  <c:v>6.98</c:v>
                </c:pt>
                <c:pt idx="1">
                  <c:v>7.9700000000000024</c:v>
                </c:pt>
                <c:pt idx="2">
                  <c:v>8.5</c:v>
                </c:pt>
                <c:pt idx="3">
                  <c:v>9.07</c:v>
                </c:pt>
              </c:numCache>
            </c:numRef>
          </c:val>
        </c:ser>
        <c:ser>
          <c:idx val="1"/>
          <c:order val="1"/>
          <c:tx>
            <c:strRef>
              <c:f>Sheet1!$C$28</c:f>
              <c:strCache>
                <c:ptCount val="1"/>
                <c:pt idx="0">
                  <c:v>2 (Lactoserum)</c:v>
                </c:pt>
              </c:strCache>
            </c:strRef>
          </c:tx>
          <c:spPr>
            <a:ln w="12700">
              <a:solidFill>
                <a:srgbClr val="FF9900"/>
              </a:solidFill>
            </a:ln>
          </c:spPr>
          <c:marker>
            <c:symbol val="square"/>
            <c:size val="4"/>
            <c:spPr>
              <a:solidFill>
                <a:srgbClr val="FF9900"/>
              </a:solidFill>
              <a:ln>
                <a:solidFill>
                  <a:srgbClr val="FF9900"/>
                </a:solidFill>
              </a:ln>
            </c:spPr>
          </c:marker>
          <c:errBars>
            <c:errDir val="y"/>
            <c:errBarType val="both"/>
            <c:errValType val="cust"/>
            <c:plus>
              <c:numRef>
                <c:f>Sheet2!$J$72:$J$75</c:f>
                <c:numCache>
                  <c:formatCode>General</c:formatCode>
                  <c:ptCount val="4"/>
                  <c:pt idx="0">
                    <c:v>2.8000000000000001E-2</c:v>
                  </c:pt>
                  <c:pt idx="1">
                    <c:v>2.5999999999999999E-2</c:v>
                  </c:pt>
                  <c:pt idx="2">
                    <c:v>3.500000000000001E-2</c:v>
                  </c:pt>
                  <c:pt idx="3">
                    <c:v>4.2000000000000023E-2</c:v>
                  </c:pt>
                </c:numCache>
              </c:numRef>
            </c:plus>
            <c:minus>
              <c:numRef>
                <c:f>Sheet2!$J$72:$J$75</c:f>
                <c:numCache>
                  <c:formatCode>General</c:formatCode>
                  <c:ptCount val="4"/>
                  <c:pt idx="0">
                    <c:v>2.8000000000000001E-2</c:v>
                  </c:pt>
                  <c:pt idx="1">
                    <c:v>2.5999999999999999E-2</c:v>
                  </c:pt>
                  <c:pt idx="2">
                    <c:v>3.500000000000001E-2</c:v>
                  </c:pt>
                  <c:pt idx="3">
                    <c:v>4.2000000000000023E-2</c:v>
                  </c:pt>
                </c:numCache>
              </c:numRef>
            </c:minus>
          </c:errBars>
          <c:cat>
            <c:strRef>
              <c:f>Sheet1!$A$29:$A$32</c:f>
              <c:strCache>
                <c:ptCount val="4"/>
                <c:pt idx="0">
                  <c:v>T0</c:v>
                </c:pt>
                <c:pt idx="1">
                  <c:v>T1</c:v>
                </c:pt>
                <c:pt idx="2">
                  <c:v>T2</c:v>
                </c:pt>
                <c:pt idx="3">
                  <c:v> T3</c:v>
                </c:pt>
              </c:strCache>
            </c:strRef>
          </c:cat>
          <c:val>
            <c:numRef>
              <c:f>Sheet1!$C$29:$C$32</c:f>
              <c:numCache>
                <c:formatCode>General</c:formatCode>
                <c:ptCount val="4"/>
                <c:pt idx="0">
                  <c:v>6.99</c:v>
                </c:pt>
                <c:pt idx="1">
                  <c:v>8.32</c:v>
                </c:pt>
                <c:pt idx="2">
                  <c:v>9.0500000000000007</c:v>
                </c:pt>
                <c:pt idx="3">
                  <c:v>10.01</c:v>
                </c:pt>
              </c:numCache>
            </c:numRef>
          </c:val>
        </c:ser>
        <c:ser>
          <c:idx val="2"/>
          <c:order val="2"/>
          <c:tx>
            <c:strRef>
              <c:f>Sheet1!$D$28</c:f>
              <c:strCache>
                <c:ptCount val="1"/>
                <c:pt idx="0">
                  <c:v>3 (Promilk)</c:v>
                </c:pt>
              </c:strCache>
            </c:strRef>
          </c:tx>
          <c:spPr>
            <a:ln w="12700">
              <a:solidFill>
                <a:srgbClr val="92D050"/>
              </a:solidFill>
            </a:ln>
          </c:spPr>
          <c:marker>
            <c:spPr>
              <a:solidFill>
                <a:srgbClr val="92D050"/>
              </a:solidFill>
              <a:ln>
                <a:solidFill>
                  <a:srgbClr val="92D050"/>
                </a:solidFill>
              </a:ln>
            </c:spPr>
          </c:marker>
          <c:errBars>
            <c:errDir val="y"/>
            <c:errBarType val="both"/>
            <c:errValType val="cust"/>
            <c:plus>
              <c:numRef>
                <c:f>Sheet2!$K$72:$K$75</c:f>
                <c:numCache>
                  <c:formatCode>General</c:formatCode>
                  <c:ptCount val="4"/>
                  <c:pt idx="0">
                    <c:v>2.9000000000000001E-2</c:v>
                  </c:pt>
                  <c:pt idx="1">
                    <c:v>3.5999999999999997E-2</c:v>
                  </c:pt>
                  <c:pt idx="2">
                    <c:v>2.5999999999999999E-2</c:v>
                  </c:pt>
                  <c:pt idx="3">
                    <c:v>3.1000000000000052E-2</c:v>
                  </c:pt>
                </c:numCache>
              </c:numRef>
            </c:plus>
            <c:minus>
              <c:numRef>
                <c:f>Sheet2!$K$72:$K$75</c:f>
                <c:numCache>
                  <c:formatCode>General</c:formatCode>
                  <c:ptCount val="4"/>
                  <c:pt idx="0">
                    <c:v>2.9000000000000001E-2</c:v>
                  </c:pt>
                  <c:pt idx="1">
                    <c:v>3.5999999999999997E-2</c:v>
                  </c:pt>
                  <c:pt idx="2">
                    <c:v>2.5999999999999999E-2</c:v>
                  </c:pt>
                  <c:pt idx="3">
                    <c:v>3.1000000000000052E-2</c:v>
                  </c:pt>
                </c:numCache>
              </c:numRef>
            </c:minus>
          </c:errBars>
          <c:cat>
            <c:strRef>
              <c:f>Sheet1!$A$29:$A$32</c:f>
              <c:strCache>
                <c:ptCount val="4"/>
                <c:pt idx="0">
                  <c:v>T0</c:v>
                </c:pt>
                <c:pt idx="1">
                  <c:v>T1</c:v>
                </c:pt>
                <c:pt idx="2">
                  <c:v>T2</c:v>
                </c:pt>
                <c:pt idx="3">
                  <c:v> T3</c:v>
                </c:pt>
              </c:strCache>
            </c:strRef>
          </c:cat>
          <c:val>
            <c:numRef>
              <c:f>Sheet1!$D$29:$D$32</c:f>
              <c:numCache>
                <c:formatCode>General</c:formatCode>
                <c:ptCount val="4"/>
                <c:pt idx="0">
                  <c:v>6.98</c:v>
                </c:pt>
                <c:pt idx="1">
                  <c:v>8.1</c:v>
                </c:pt>
                <c:pt idx="2">
                  <c:v>8.620000000000001</c:v>
                </c:pt>
                <c:pt idx="3">
                  <c:v>9.2800000000000011</c:v>
                </c:pt>
              </c:numCache>
            </c:numRef>
          </c:val>
        </c:ser>
        <c:ser>
          <c:idx val="3"/>
          <c:order val="3"/>
          <c:tx>
            <c:strRef>
              <c:f>Sheet1!$E$28</c:f>
              <c:strCache>
                <c:ptCount val="1"/>
                <c:pt idx="0">
                  <c:v>4 (H. Caseine)</c:v>
                </c:pt>
              </c:strCache>
            </c:strRef>
          </c:tx>
          <c:spPr>
            <a:ln w="12700">
              <a:solidFill>
                <a:srgbClr val="990099"/>
              </a:solidFill>
            </a:ln>
          </c:spPr>
          <c:marker>
            <c:spPr>
              <a:solidFill>
                <a:srgbClr val="990099"/>
              </a:solidFill>
              <a:ln>
                <a:solidFill>
                  <a:srgbClr val="990099"/>
                </a:solidFill>
              </a:ln>
            </c:spPr>
          </c:marker>
          <c:errBars>
            <c:errDir val="y"/>
            <c:errBarType val="both"/>
            <c:errValType val="cust"/>
            <c:plus>
              <c:numRef>
                <c:f>Sheet2!$L$72:$L$75</c:f>
                <c:numCache>
                  <c:formatCode>General</c:formatCode>
                  <c:ptCount val="4"/>
                  <c:pt idx="0">
                    <c:v>3.0000000000000002E-2</c:v>
                  </c:pt>
                  <c:pt idx="1">
                    <c:v>3.1000000000000052E-2</c:v>
                  </c:pt>
                  <c:pt idx="2">
                    <c:v>2.9000000000000001E-2</c:v>
                  </c:pt>
                  <c:pt idx="3">
                    <c:v>3.6999999999999998E-2</c:v>
                  </c:pt>
                </c:numCache>
              </c:numRef>
            </c:plus>
            <c:minus>
              <c:numRef>
                <c:f>Sheet2!$L$72:$L$75</c:f>
                <c:numCache>
                  <c:formatCode>General</c:formatCode>
                  <c:ptCount val="4"/>
                  <c:pt idx="0">
                    <c:v>3.0000000000000002E-2</c:v>
                  </c:pt>
                  <c:pt idx="1">
                    <c:v>3.1000000000000052E-2</c:v>
                  </c:pt>
                  <c:pt idx="2">
                    <c:v>2.9000000000000001E-2</c:v>
                  </c:pt>
                  <c:pt idx="3">
                    <c:v>3.6999999999999998E-2</c:v>
                  </c:pt>
                </c:numCache>
              </c:numRef>
            </c:minus>
          </c:errBars>
          <c:cat>
            <c:strRef>
              <c:f>Sheet1!$A$29:$A$32</c:f>
              <c:strCache>
                <c:ptCount val="4"/>
                <c:pt idx="0">
                  <c:v>T0</c:v>
                </c:pt>
                <c:pt idx="1">
                  <c:v>T1</c:v>
                </c:pt>
                <c:pt idx="2">
                  <c:v>T2</c:v>
                </c:pt>
                <c:pt idx="3">
                  <c:v> T3</c:v>
                </c:pt>
              </c:strCache>
            </c:strRef>
          </c:cat>
          <c:val>
            <c:numRef>
              <c:f>Sheet1!$E$29:$E$32</c:f>
              <c:numCache>
                <c:formatCode>General</c:formatCode>
                <c:ptCount val="4"/>
                <c:pt idx="0">
                  <c:v>6.9700000000000024</c:v>
                </c:pt>
                <c:pt idx="1">
                  <c:v>8.16</c:v>
                </c:pt>
                <c:pt idx="2">
                  <c:v>8.76</c:v>
                </c:pt>
                <c:pt idx="3">
                  <c:v>9.4700000000000006</c:v>
                </c:pt>
              </c:numCache>
            </c:numRef>
          </c:val>
        </c:ser>
        <c:ser>
          <c:idx val="4"/>
          <c:order val="4"/>
          <c:tx>
            <c:strRef>
              <c:f>Sheet1!$F$28</c:f>
              <c:strCache>
                <c:ptCount val="1"/>
                <c:pt idx="0">
                  <c:v>5 (H. Proteine)</c:v>
                </c:pt>
              </c:strCache>
            </c:strRef>
          </c:tx>
          <c:spPr>
            <a:ln w="12700">
              <a:solidFill>
                <a:srgbClr val="FF33CC"/>
              </a:solidFill>
            </a:ln>
          </c:spPr>
          <c:marker>
            <c:symbol val="circle"/>
            <c:size val="4"/>
            <c:spPr>
              <a:solidFill>
                <a:srgbClr val="FF33CC"/>
              </a:solidFill>
              <a:ln>
                <a:solidFill>
                  <a:srgbClr val="FF33CC"/>
                </a:solidFill>
              </a:ln>
            </c:spPr>
          </c:marker>
          <c:errBars>
            <c:errDir val="y"/>
            <c:errBarType val="both"/>
            <c:errValType val="cust"/>
            <c:plus>
              <c:numRef>
                <c:f>Sheet2!$M$72:$M$75</c:f>
                <c:numCache>
                  <c:formatCode>General</c:formatCode>
                  <c:ptCount val="4"/>
                  <c:pt idx="0">
                    <c:v>3.4000000000000002E-2</c:v>
                  </c:pt>
                  <c:pt idx="1">
                    <c:v>3.0000000000000002E-2</c:v>
                  </c:pt>
                  <c:pt idx="2">
                    <c:v>5.3000000000000012E-2</c:v>
                  </c:pt>
                  <c:pt idx="3">
                    <c:v>7.8000000000000014E-2</c:v>
                  </c:pt>
                </c:numCache>
              </c:numRef>
            </c:plus>
            <c:minus>
              <c:numRef>
                <c:f>Sheet2!$M$72:$M$75</c:f>
                <c:numCache>
                  <c:formatCode>General</c:formatCode>
                  <c:ptCount val="4"/>
                  <c:pt idx="0">
                    <c:v>3.4000000000000002E-2</c:v>
                  </c:pt>
                  <c:pt idx="1">
                    <c:v>3.0000000000000002E-2</c:v>
                  </c:pt>
                  <c:pt idx="2">
                    <c:v>5.3000000000000012E-2</c:v>
                  </c:pt>
                  <c:pt idx="3">
                    <c:v>7.8000000000000014E-2</c:v>
                  </c:pt>
                </c:numCache>
              </c:numRef>
            </c:minus>
            <c:spPr>
              <a:ln w="3175">
                <a:solidFill>
                  <a:srgbClr val="000000"/>
                </a:solidFill>
                <a:prstDash val="solid"/>
              </a:ln>
            </c:spPr>
          </c:errBars>
          <c:cat>
            <c:strRef>
              <c:f>Sheet1!$A$29:$A$32</c:f>
              <c:strCache>
                <c:ptCount val="4"/>
                <c:pt idx="0">
                  <c:v>T0</c:v>
                </c:pt>
                <c:pt idx="1">
                  <c:v>T1</c:v>
                </c:pt>
                <c:pt idx="2">
                  <c:v>T2</c:v>
                </c:pt>
                <c:pt idx="3">
                  <c:v> T3</c:v>
                </c:pt>
              </c:strCache>
            </c:strRef>
          </c:cat>
          <c:val>
            <c:numRef>
              <c:f>Sheet1!$F$29:$F$32</c:f>
              <c:numCache>
                <c:formatCode>General</c:formatCode>
                <c:ptCount val="4"/>
                <c:pt idx="0">
                  <c:v>6.98</c:v>
                </c:pt>
                <c:pt idx="1">
                  <c:v>8.19</c:v>
                </c:pt>
                <c:pt idx="2">
                  <c:v>8.8800000000000008</c:v>
                </c:pt>
                <c:pt idx="3">
                  <c:v>9.74</c:v>
                </c:pt>
              </c:numCache>
            </c:numRef>
          </c:val>
        </c:ser>
        <c:marker val="1"/>
        <c:axId val="60318848"/>
        <c:axId val="60320768"/>
      </c:lineChart>
      <c:catAx>
        <c:axId val="60318848"/>
        <c:scaling>
          <c:orientation val="minMax"/>
        </c:scaling>
        <c:axPos val="b"/>
        <c:title>
          <c:tx>
            <c:rich>
              <a:bodyPr/>
              <a:lstStyle/>
              <a:p>
                <a:pPr>
                  <a:defRPr sz="1000" b="1" i="0" u="none" strike="noStrike" baseline="0">
                    <a:solidFill>
                      <a:srgbClr val="000000"/>
                    </a:solidFill>
                    <a:latin typeface="Times New Roman"/>
                    <a:ea typeface="Times New Roman"/>
                    <a:cs typeface="Times New Roman"/>
                  </a:defRPr>
                </a:pPr>
                <a:r>
                  <a:rPr lang="fr-FR"/>
                  <a:t>Temps</a:t>
                </a:r>
                <a:r>
                  <a:rPr lang="fr-FR" baseline="0"/>
                  <a:t> </a:t>
                </a:r>
                <a:r>
                  <a:rPr lang="fr-FR"/>
                  <a:t>(h)</a:t>
                </a:r>
              </a:p>
            </c:rich>
          </c:tx>
          <c:layout>
            <c:manualLayout>
              <c:xMode val="edge"/>
              <c:yMode val="edge"/>
              <c:x val="0.48218291885627662"/>
              <c:y val="0.91043854231006749"/>
            </c:manualLayout>
          </c:layout>
        </c:title>
        <c:numFmt formatCode="General" sourceLinked="1"/>
        <c:tickLblPos val="nextTo"/>
        <c:spPr>
          <a:ln w="9525">
            <a:solidFill>
              <a:sysClr val="windowText" lastClr="000000"/>
            </a:solidFill>
          </a:ln>
        </c:spPr>
        <c:txPr>
          <a:bodyPr rot="0" vert="horz"/>
          <a:lstStyle/>
          <a:p>
            <a:pPr>
              <a:defRPr sz="1000" b="1" i="0" u="none" strike="noStrike" baseline="0">
                <a:solidFill>
                  <a:srgbClr val="000000"/>
                </a:solidFill>
                <a:latin typeface="Calibri"/>
                <a:ea typeface="Calibri"/>
                <a:cs typeface="Calibri"/>
              </a:defRPr>
            </a:pPr>
            <a:endParaRPr lang="fr-FR"/>
          </a:p>
        </c:txPr>
        <c:crossAx val="60320768"/>
        <c:crosses val="autoZero"/>
        <c:auto val="1"/>
        <c:lblAlgn val="ctr"/>
        <c:lblOffset val="100"/>
      </c:catAx>
      <c:valAx>
        <c:axId val="60320768"/>
        <c:scaling>
          <c:orientation val="minMax"/>
          <c:max val="11"/>
          <c:min val="6"/>
        </c:scaling>
        <c:axPos val="l"/>
        <c:title>
          <c:tx>
            <c:rich>
              <a:bodyPr/>
              <a:lstStyle/>
              <a:p>
                <a:pPr>
                  <a:defRPr sz="1000" b="1" i="0" u="none" strike="noStrike" baseline="0">
                    <a:solidFill>
                      <a:srgbClr val="000000"/>
                    </a:solidFill>
                    <a:latin typeface="Times New Roman"/>
                    <a:ea typeface="Times New Roman"/>
                    <a:cs typeface="Times New Roman"/>
                  </a:defRPr>
                </a:pPr>
                <a:r>
                  <a:rPr lang="fr-FR"/>
                  <a:t>log UFC/ml</a:t>
                </a:r>
              </a:p>
            </c:rich>
          </c:tx>
          <c:layout/>
        </c:title>
        <c:numFmt formatCode="General" sourceLinked="1"/>
        <c:tickLblPos val="nextTo"/>
        <c:spPr>
          <a:noFill/>
          <a:ln w="9525">
            <a:solidFill>
              <a:schemeClr val="tx1"/>
            </a:solidFill>
          </a:ln>
        </c:spPr>
        <c:txPr>
          <a:bodyPr rot="0" vert="horz"/>
          <a:lstStyle/>
          <a:p>
            <a:pPr>
              <a:defRPr sz="1000" b="1" i="0" u="none" strike="noStrike" baseline="0">
                <a:solidFill>
                  <a:srgbClr val="000000"/>
                </a:solidFill>
                <a:latin typeface="Calibri"/>
                <a:ea typeface="Calibri"/>
                <a:cs typeface="Calibri"/>
              </a:defRPr>
            </a:pPr>
            <a:endParaRPr lang="fr-FR"/>
          </a:p>
        </c:txPr>
        <c:crossAx val="60318848"/>
        <c:crosses val="autoZero"/>
        <c:crossBetween val="midCat"/>
        <c:majorUnit val="0.5"/>
      </c:valAx>
    </c:plotArea>
    <c:plotVisOnly val="1"/>
    <c:dispBlanksAs val="gap"/>
  </c:chart>
  <c:spPr>
    <a:ln>
      <a:solidFill>
        <a:schemeClr val="bg1"/>
      </a:solidFill>
    </a:ln>
  </c:spPr>
  <c:txPr>
    <a:bodyPr/>
    <a:lstStyle/>
    <a:p>
      <a:pPr>
        <a:defRPr sz="1000" b="0" i="0" u="none" strike="noStrike" baseline="0">
          <a:solidFill>
            <a:srgbClr val="000000"/>
          </a:solidFill>
          <a:latin typeface="Calibri"/>
          <a:ea typeface="Calibri"/>
          <a:cs typeface="Calibri"/>
        </a:defRPr>
      </a:pPr>
      <a:endParaRPr lang="fr-FR"/>
    </a:p>
  </c:txPr>
  <c:externalData r:id="rId1"/>
  <c:userShapes r:id="rId2"/>
</c:chartSpace>
</file>

<file path=word/charts/chart21.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a:pPr>
            <a:r>
              <a:rPr lang="fr-FR" sz="1800">
                <a:latin typeface="Times New Roman" pitchFamily="18" charset="0"/>
                <a:cs typeface="Times New Roman" pitchFamily="18" charset="0"/>
              </a:rPr>
              <a:t>D</a:t>
            </a:r>
          </a:p>
        </c:rich>
      </c:tx>
      <c:layout>
        <c:manualLayout>
          <c:xMode val="edge"/>
          <c:yMode val="edge"/>
          <c:x val="1.7699979234598522E-2"/>
          <c:y val="1.6059957173447537E-2"/>
        </c:manualLayout>
      </c:layout>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27673396088646812"/>
          <c:y val="0.1353930758655168"/>
          <c:w val="0.64216604503384445"/>
          <c:h val="0.66730152320703562"/>
        </c:manualLayout>
      </c:layout>
      <c:lineChart>
        <c:grouping val="standard"/>
        <c:ser>
          <c:idx val="0"/>
          <c:order val="0"/>
          <c:tx>
            <c:strRef>
              <c:f>Sheet1!$B$12</c:f>
              <c:strCache>
                <c:ptCount val="1"/>
                <c:pt idx="0">
                  <c:v>1 (Temoin)</c:v>
                </c:pt>
              </c:strCache>
            </c:strRef>
          </c:tx>
          <c:spPr>
            <a:ln w="12700"/>
          </c:spPr>
          <c:errBars>
            <c:errDir val="y"/>
            <c:errBarType val="both"/>
            <c:errValType val="cust"/>
            <c:plus>
              <c:numRef>
                <c:f>Sheet1!$I$13:$M$13</c:f>
                <c:numCache>
                  <c:formatCode>General</c:formatCode>
                  <c:ptCount val="5"/>
                  <c:pt idx="0">
                    <c:v>1.4E-2</c:v>
                  </c:pt>
                  <c:pt idx="1">
                    <c:v>1.7000000000000001E-2</c:v>
                  </c:pt>
                  <c:pt idx="2">
                    <c:v>1.7999999999999999E-2</c:v>
                  </c:pt>
                  <c:pt idx="3">
                    <c:v>2.3E-2</c:v>
                  </c:pt>
                  <c:pt idx="4">
                    <c:v>9.0000000000000028E-3</c:v>
                  </c:pt>
                </c:numCache>
              </c:numRef>
            </c:plus>
            <c:minus>
              <c:numRef>
                <c:f>Sheet1!$I$13:$M$13</c:f>
                <c:numCache>
                  <c:formatCode>General</c:formatCode>
                  <c:ptCount val="5"/>
                  <c:pt idx="0">
                    <c:v>1.4E-2</c:v>
                  </c:pt>
                  <c:pt idx="1">
                    <c:v>1.7000000000000001E-2</c:v>
                  </c:pt>
                  <c:pt idx="2">
                    <c:v>1.7999999999999999E-2</c:v>
                  </c:pt>
                  <c:pt idx="3">
                    <c:v>2.3E-2</c:v>
                  </c:pt>
                  <c:pt idx="4">
                    <c:v>9.0000000000000028E-3</c:v>
                  </c:pt>
                </c:numCache>
              </c:numRef>
            </c:minus>
          </c:errBars>
          <c:cat>
            <c:strRef>
              <c:f>Sheet1!$A$13:$A$16</c:f>
              <c:strCache>
                <c:ptCount val="4"/>
                <c:pt idx="0">
                  <c:v>T0</c:v>
                </c:pt>
                <c:pt idx="1">
                  <c:v>T1</c:v>
                </c:pt>
                <c:pt idx="2">
                  <c:v>T2</c:v>
                </c:pt>
                <c:pt idx="3">
                  <c:v> T3</c:v>
                </c:pt>
              </c:strCache>
            </c:strRef>
          </c:cat>
          <c:val>
            <c:numRef>
              <c:f>Sheet1!$B$13:$B$16</c:f>
              <c:numCache>
                <c:formatCode>General</c:formatCode>
                <c:ptCount val="4"/>
                <c:pt idx="0">
                  <c:v>5.99</c:v>
                </c:pt>
                <c:pt idx="1">
                  <c:v>7.01</c:v>
                </c:pt>
                <c:pt idx="2">
                  <c:v>8.06</c:v>
                </c:pt>
                <c:pt idx="3">
                  <c:v>8.89</c:v>
                </c:pt>
              </c:numCache>
            </c:numRef>
          </c:val>
        </c:ser>
        <c:ser>
          <c:idx val="1"/>
          <c:order val="1"/>
          <c:tx>
            <c:strRef>
              <c:f>Sheet1!$C$12</c:f>
              <c:strCache>
                <c:ptCount val="1"/>
                <c:pt idx="0">
                  <c:v>2 (Lactoserum)</c:v>
                </c:pt>
              </c:strCache>
            </c:strRef>
          </c:tx>
          <c:spPr>
            <a:ln w="12700">
              <a:solidFill>
                <a:srgbClr val="FF9900"/>
              </a:solidFill>
            </a:ln>
          </c:spPr>
          <c:marker>
            <c:spPr>
              <a:solidFill>
                <a:srgbClr val="FF9900"/>
              </a:solidFill>
              <a:ln>
                <a:solidFill>
                  <a:srgbClr val="FF9900"/>
                </a:solidFill>
              </a:ln>
            </c:spPr>
          </c:marker>
          <c:errBars>
            <c:errDir val="y"/>
            <c:errBarType val="both"/>
            <c:errValType val="cust"/>
            <c:plus>
              <c:numRef>
                <c:f>Sheet1!$I$14:$M$14</c:f>
                <c:numCache>
                  <c:formatCode>General</c:formatCode>
                  <c:ptCount val="5"/>
                  <c:pt idx="0">
                    <c:v>1.4999999999999998E-2</c:v>
                  </c:pt>
                  <c:pt idx="1">
                    <c:v>1.7999999999999999E-2</c:v>
                  </c:pt>
                  <c:pt idx="2">
                    <c:v>3.2000000000000042E-2</c:v>
                  </c:pt>
                  <c:pt idx="3">
                    <c:v>2.3E-2</c:v>
                  </c:pt>
                  <c:pt idx="4">
                    <c:v>1.2E-2</c:v>
                  </c:pt>
                </c:numCache>
              </c:numRef>
            </c:plus>
            <c:minus>
              <c:numRef>
                <c:f>Sheet1!$I$14:$M$14</c:f>
                <c:numCache>
                  <c:formatCode>General</c:formatCode>
                  <c:ptCount val="5"/>
                  <c:pt idx="0">
                    <c:v>1.4999999999999998E-2</c:v>
                  </c:pt>
                  <c:pt idx="1">
                    <c:v>1.7999999999999999E-2</c:v>
                  </c:pt>
                  <c:pt idx="2">
                    <c:v>3.2000000000000042E-2</c:v>
                  </c:pt>
                  <c:pt idx="3">
                    <c:v>2.3E-2</c:v>
                  </c:pt>
                  <c:pt idx="4">
                    <c:v>1.2E-2</c:v>
                  </c:pt>
                </c:numCache>
              </c:numRef>
            </c:minus>
          </c:errBars>
          <c:cat>
            <c:strRef>
              <c:f>Sheet1!$A$13:$A$16</c:f>
              <c:strCache>
                <c:ptCount val="4"/>
                <c:pt idx="0">
                  <c:v>T0</c:v>
                </c:pt>
                <c:pt idx="1">
                  <c:v>T1</c:v>
                </c:pt>
                <c:pt idx="2">
                  <c:v>T2</c:v>
                </c:pt>
                <c:pt idx="3">
                  <c:v> T3</c:v>
                </c:pt>
              </c:strCache>
            </c:strRef>
          </c:cat>
          <c:val>
            <c:numRef>
              <c:f>Sheet1!$C$13:$C$16</c:f>
              <c:numCache>
                <c:formatCode>General</c:formatCode>
                <c:ptCount val="4"/>
                <c:pt idx="0">
                  <c:v>5.99</c:v>
                </c:pt>
                <c:pt idx="1">
                  <c:v>7.74</c:v>
                </c:pt>
                <c:pt idx="2">
                  <c:v>8.9700000000000006</c:v>
                </c:pt>
                <c:pt idx="3">
                  <c:v>10.25</c:v>
                </c:pt>
              </c:numCache>
            </c:numRef>
          </c:val>
        </c:ser>
        <c:ser>
          <c:idx val="2"/>
          <c:order val="2"/>
          <c:tx>
            <c:strRef>
              <c:f>Sheet1!$D$12</c:f>
              <c:strCache>
                <c:ptCount val="1"/>
                <c:pt idx="0">
                  <c:v>3 (Promilk)</c:v>
                </c:pt>
              </c:strCache>
            </c:strRef>
          </c:tx>
          <c:spPr>
            <a:ln w="12700">
              <a:solidFill>
                <a:srgbClr val="92D050"/>
              </a:solidFill>
            </a:ln>
          </c:spPr>
          <c:marker>
            <c:spPr>
              <a:solidFill>
                <a:srgbClr val="92D050"/>
              </a:solidFill>
              <a:ln>
                <a:solidFill>
                  <a:srgbClr val="92D050"/>
                </a:solidFill>
              </a:ln>
            </c:spPr>
          </c:marker>
          <c:errBars>
            <c:errDir val="y"/>
            <c:errBarType val="both"/>
            <c:errValType val="cust"/>
            <c:plus>
              <c:numRef>
                <c:f>Sheet1!$I$15:$M$15</c:f>
                <c:numCache>
                  <c:formatCode>General</c:formatCode>
                  <c:ptCount val="5"/>
                  <c:pt idx="0">
                    <c:v>2.7000000000000159E-2</c:v>
                  </c:pt>
                  <c:pt idx="1">
                    <c:v>1.4999999999999998E-2</c:v>
                  </c:pt>
                  <c:pt idx="2">
                    <c:v>1.9000000000000111E-2</c:v>
                  </c:pt>
                  <c:pt idx="3">
                    <c:v>4.2000000000000023E-2</c:v>
                  </c:pt>
                  <c:pt idx="4">
                    <c:v>2.9000000000000001E-2</c:v>
                  </c:pt>
                </c:numCache>
              </c:numRef>
            </c:plus>
            <c:minus>
              <c:numRef>
                <c:f>Sheet1!$I$15:$M$15</c:f>
                <c:numCache>
                  <c:formatCode>General</c:formatCode>
                  <c:ptCount val="5"/>
                  <c:pt idx="0">
                    <c:v>2.7000000000000159E-2</c:v>
                  </c:pt>
                  <c:pt idx="1">
                    <c:v>1.4999999999999998E-2</c:v>
                  </c:pt>
                  <c:pt idx="2">
                    <c:v>1.9000000000000111E-2</c:v>
                  </c:pt>
                  <c:pt idx="3">
                    <c:v>4.2000000000000023E-2</c:v>
                  </c:pt>
                  <c:pt idx="4">
                    <c:v>2.9000000000000001E-2</c:v>
                  </c:pt>
                </c:numCache>
              </c:numRef>
            </c:minus>
          </c:errBars>
          <c:cat>
            <c:strRef>
              <c:f>Sheet1!$A$13:$A$16</c:f>
              <c:strCache>
                <c:ptCount val="4"/>
                <c:pt idx="0">
                  <c:v>T0</c:v>
                </c:pt>
                <c:pt idx="1">
                  <c:v>T1</c:v>
                </c:pt>
                <c:pt idx="2">
                  <c:v>T2</c:v>
                </c:pt>
                <c:pt idx="3">
                  <c:v> T3</c:v>
                </c:pt>
              </c:strCache>
            </c:strRef>
          </c:cat>
          <c:val>
            <c:numRef>
              <c:f>Sheet1!$D$13:$D$16</c:f>
              <c:numCache>
                <c:formatCode>General</c:formatCode>
                <c:ptCount val="4"/>
                <c:pt idx="0">
                  <c:v>5.99</c:v>
                </c:pt>
                <c:pt idx="1">
                  <c:v>7.17</c:v>
                </c:pt>
                <c:pt idx="2">
                  <c:v>8.43</c:v>
                </c:pt>
                <c:pt idx="3">
                  <c:v>9.7200000000000006</c:v>
                </c:pt>
              </c:numCache>
            </c:numRef>
          </c:val>
        </c:ser>
        <c:ser>
          <c:idx val="3"/>
          <c:order val="3"/>
          <c:tx>
            <c:strRef>
              <c:f>Sheet1!$E$12</c:f>
              <c:strCache>
                <c:ptCount val="1"/>
                <c:pt idx="0">
                  <c:v>4 (H. Caseine)</c:v>
                </c:pt>
              </c:strCache>
            </c:strRef>
          </c:tx>
          <c:spPr>
            <a:ln w="12700">
              <a:solidFill>
                <a:srgbClr val="990099"/>
              </a:solidFill>
            </a:ln>
          </c:spPr>
          <c:marker>
            <c:spPr>
              <a:solidFill>
                <a:srgbClr val="990099"/>
              </a:solidFill>
              <a:ln>
                <a:solidFill>
                  <a:srgbClr val="990099"/>
                </a:solidFill>
              </a:ln>
            </c:spPr>
          </c:marker>
          <c:errBars>
            <c:errDir val="y"/>
            <c:errBarType val="both"/>
            <c:errValType val="cust"/>
            <c:plus>
              <c:numRef>
                <c:f>Sheet1!$I$16:$M$16</c:f>
                <c:numCache>
                  <c:formatCode>General</c:formatCode>
                  <c:ptCount val="5"/>
                  <c:pt idx="0">
                    <c:v>1.7000000000000001E-2</c:v>
                  </c:pt>
                  <c:pt idx="1">
                    <c:v>2.3E-2</c:v>
                  </c:pt>
                  <c:pt idx="2">
                    <c:v>3.0000000000000002E-2</c:v>
                  </c:pt>
                  <c:pt idx="3">
                    <c:v>4.0000000000000022E-2</c:v>
                  </c:pt>
                  <c:pt idx="4">
                    <c:v>2.1000000000000012E-2</c:v>
                  </c:pt>
                </c:numCache>
              </c:numRef>
            </c:plus>
            <c:minus>
              <c:numRef>
                <c:f>Sheet1!$I$16:$M$16</c:f>
                <c:numCache>
                  <c:formatCode>General</c:formatCode>
                  <c:ptCount val="5"/>
                  <c:pt idx="0">
                    <c:v>1.7000000000000001E-2</c:v>
                  </c:pt>
                  <c:pt idx="1">
                    <c:v>2.3E-2</c:v>
                  </c:pt>
                  <c:pt idx="2">
                    <c:v>3.0000000000000002E-2</c:v>
                  </c:pt>
                  <c:pt idx="3">
                    <c:v>4.0000000000000022E-2</c:v>
                  </c:pt>
                  <c:pt idx="4">
                    <c:v>2.1000000000000012E-2</c:v>
                  </c:pt>
                </c:numCache>
              </c:numRef>
            </c:minus>
          </c:errBars>
          <c:cat>
            <c:strRef>
              <c:f>Sheet1!$A$13:$A$16</c:f>
              <c:strCache>
                <c:ptCount val="4"/>
                <c:pt idx="0">
                  <c:v>T0</c:v>
                </c:pt>
                <c:pt idx="1">
                  <c:v>T1</c:v>
                </c:pt>
                <c:pt idx="2">
                  <c:v>T2</c:v>
                </c:pt>
                <c:pt idx="3">
                  <c:v> T3</c:v>
                </c:pt>
              </c:strCache>
            </c:strRef>
          </c:cat>
          <c:val>
            <c:numRef>
              <c:f>Sheet1!$E$13:$E$16</c:f>
              <c:numCache>
                <c:formatCode>General</c:formatCode>
                <c:ptCount val="4"/>
                <c:pt idx="0">
                  <c:v>5.96</c:v>
                </c:pt>
                <c:pt idx="1">
                  <c:v>7.3199999999999985</c:v>
                </c:pt>
                <c:pt idx="2">
                  <c:v>8.56</c:v>
                </c:pt>
                <c:pt idx="3">
                  <c:v>9.64</c:v>
                </c:pt>
              </c:numCache>
            </c:numRef>
          </c:val>
        </c:ser>
        <c:ser>
          <c:idx val="4"/>
          <c:order val="4"/>
          <c:tx>
            <c:strRef>
              <c:f>Sheet1!$F$12</c:f>
              <c:strCache>
                <c:ptCount val="1"/>
                <c:pt idx="0">
                  <c:v>5 (H. Proteine)</c:v>
                </c:pt>
              </c:strCache>
            </c:strRef>
          </c:tx>
          <c:spPr>
            <a:ln w="12700">
              <a:solidFill>
                <a:srgbClr val="FF33CC"/>
              </a:solidFill>
            </a:ln>
          </c:spPr>
          <c:marker>
            <c:symbol val="circle"/>
            <c:size val="4"/>
            <c:spPr>
              <a:solidFill>
                <a:srgbClr val="FF33CC"/>
              </a:solidFill>
              <a:ln>
                <a:solidFill>
                  <a:srgbClr val="FF33CC"/>
                </a:solidFill>
              </a:ln>
            </c:spPr>
          </c:marker>
          <c:cat>
            <c:strRef>
              <c:f>Sheet1!$A$13:$A$16</c:f>
              <c:strCache>
                <c:ptCount val="4"/>
                <c:pt idx="0">
                  <c:v>T0</c:v>
                </c:pt>
                <c:pt idx="1">
                  <c:v>T1</c:v>
                </c:pt>
                <c:pt idx="2">
                  <c:v>T2</c:v>
                </c:pt>
                <c:pt idx="3">
                  <c:v> T3</c:v>
                </c:pt>
              </c:strCache>
            </c:strRef>
          </c:cat>
          <c:val>
            <c:numRef>
              <c:f>Sheet1!$F$13:$F$16</c:f>
              <c:numCache>
                <c:formatCode>General</c:formatCode>
                <c:ptCount val="4"/>
                <c:pt idx="0">
                  <c:v>5.99</c:v>
                </c:pt>
                <c:pt idx="1">
                  <c:v>7.44</c:v>
                </c:pt>
                <c:pt idx="2">
                  <c:v>8.75</c:v>
                </c:pt>
                <c:pt idx="3">
                  <c:v>9.93</c:v>
                </c:pt>
              </c:numCache>
            </c:numRef>
          </c:val>
        </c:ser>
        <c:marker val="1"/>
        <c:axId val="60378112"/>
        <c:axId val="60397056"/>
      </c:lineChart>
      <c:catAx>
        <c:axId val="60378112"/>
        <c:scaling>
          <c:orientation val="minMax"/>
        </c:scaling>
        <c:axPos val="b"/>
        <c:title>
          <c:tx>
            <c:rich>
              <a:bodyPr/>
              <a:lstStyle/>
              <a:p>
                <a:pPr>
                  <a:defRPr sz="1000" b="1" i="0" u="none" strike="noStrike" baseline="0">
                    <a:solidFill>
                      <a:srgbClr val="000000"/>
                    </a:solidFill>
                    <a:latin typeface="Times New Roman"/>
                    <a:ea typeface="Times New Roman"/>
                    <a:cs typeface="Times New Roman"/>
                  </a:defRPr>
                </a:pPr>
                <a:r>
                  <a:rPr lang="fr-FR"/>
                  <a:t>Temps (h)</a:t>
                </a:r>
              </a:p>
            </c:rich>
          </c:tx>
          <c:layout>
            <c:manualLayout>
              <c:xMode val="edge"/>
              <c:yMode val="edge"/>
              <c:x val="0.40285312335958212"/>
              <c:y val="0.93053475458424839"/>
            </c:manualLayout>
          </c:layout>
        </c:title>
        <c:numFmt formatCode="General" sourceLinked="1"/>
        <c:tickLblPos val="nextTo"/>
        <c:spPr>
          <a:ln w="9525">
            <a:solidFill>
              <a:sysClr val="windowText" lastClr="000000"/>
            </a:solidFill>
          </a:ln>
        </c:spPr>
        <c:txPr>
          <a:bodyPr rot="0" vert="horz"/>
          <a:lstStyle/>
          <a:p>
            <a:pPr>
              <a:defRPr sz="1000" b="1" i="0" u="none" strike="noStrike" baseline="0">
                <a:solidFill>
                  <a:srgbClr val="000000"/>
                </a:solidFill>
                <a:latin typeface="Calibri"/>
                <a:ea typeface="Calibri"/>
                <a:cs typeface="Calibri"/>
              </a:defRPr>
            </a:pPr>
            <a:endParaRPr lang="fr-FR"/>
          </a:p>
        </c:txPr>
        <c:crossAx val="60397056"/>
        <c:crosses val="autoZero"/>
        <c:auto val="1"/>
        <c:lblAlgn val="ctr"/>
        <c:lblOffset val="100"/>
      </c:catAx>
      <c:valAx>
        <c:axId val="60397056"/>
        <c:scaling>
          <c:orientation val="minMax"/>
          <c:max val="10.5"/>
          <c:min val="5.5"/>
        </c:scaling>
        <c:axPos val="l"/>
        <c:title>
          <c:tx>
            <c:rich>
              <a:bodyPr/>
              <a:lstStyle/>
              <a:p>
                <a:pPr>
                  <a:defRPr sz="1000" b="1" i="0" u="none" strike="noStrike" baseline="0">
                    <a:solidFill>
                      <a:srgbClr val="000000"/>
                    </a:solidFill>
                    <a:latin typeface="Calibri"/>
                    <a:ea typeface="Calibri"/>
                    <a:cs typeface="Calibri"/>
                  </a:defRPr>
                </a:pPr>
                <a:r>
                  <a:rPr lang="fr-FR"/>
                  <a:t>log UFC/ml</a:t>
                </a:r>
              </a:p>
            </c:rich>
          </c:tx>
          <c:layout/>
        </c:title>
        <c:numFmt formatCode="General" sourceLinked="1"/>
        <c:tickLblPos val="nextTo"/>
        <c:spPr>
          <a:ln w="9525">
            <a:solidFill>
              <a:schemeClr val="tx1"/>
            </a:solidFill>
          </a:ln>
        </c:spPr>
        <c:txPr>
          <a:bodyPr rot="0" vert="horz"/>
          <a:lstStyle/>
          <a:p>
            <a:pPr>
              <a:defRPr sz="1000" b="1" i="0" u="none" strike="noStrike" baseline="0">
                <a:solidFill>
                  <a:srgbClr val="000000"/>
                </a:solidFill>
                <a:latin typeface="Calibri"/>
                <a:ea typeface="Calibri"/>
                <a:cs typeface="Calibri"/>
              </a:defRPr>
            </a:pPr>
            <a:endParaRPr lang="fr-FR"/>
          </a:p>
        </c:txPr>
        <c:crossAx val="60378112"/>
        <c:crosses val="autoZero"/>
        <c:crossBetween val="midCat"/>
        <c:majorUnit val="0.5"/>
      </c:valAx>
    </c:plotArea>
    <c:plotVisOnly val="1"/>
    <c:dispBlanksAs val="gap"/>
  </c:chart>
  <c:spPr>
    <a:ln>
      <a:solidFill>
        <a:schemeClr val="bg1"/>
      </a:solidFill>
    </a:ln>
  </c:spPr>
  <c:txPr>
    <a:bodyPr/>
    <a:lstStyle/>
    <a:p>
      <a:pPr>
        <a:defRPr sz="1000" b="0" i="0" u="none" strike="noStrike" baseline="0">
          <a:solidFill>
            <a:srgbClr val="000000"/>
          </a:solidFill>
          <a:latin typeface="Calibri"/>
          <a:ea typeface="Calibri"/>
          <a:cs typeface="Calibri"/>
        </a:defRPr>
      </a:pPr>
      <a:endParaRPr lang="fr-FR"/>
    </a:p>
  </c:txPr>
  <c:externalData r:id="rId1"/>
  <c:userShapes r:id="rId2"/>
</c:chartSpace>
</file>

<file path=word/charts/chart22.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a:pPr>
            <a:r>
              <a:rPr lang="fr-FR" b="0">
                <a:latin typeface="Times New Roman" pitchFamily="18" charset="0"/>
                <a:cs typeface="Times New Roman" pitchFamily="18" charset="0"/>
              </a:rPr>
              <a:t>E</a:t>
            </a:r>
          </a:p>
        </c:rich>
      </c:tx>
      <c:layout>
        <c:manualLayout>
          <c:xMode val="edge"/>
          <c:yMode val="edge"/>
          <c:x val="1.2288062532329618E-3"/>
          <c:y val="0"/>
        </c:manualLayout>
      </c:layout>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24842519685039427"/>
          <c:y val="0.15232047606952356"/>
          <c:w val="0.64705908264963974"/>
          <c:h val="0.66495008990018412"/>
        </c:manualLayout>
      </c:layout>
      <c:lineChart>
        <c:grouping val="standard"/>
        <c:ser>
          <c:idx val="0"/>
          <c:order val="0"/>
          <c:tx>
            <c:strRef>
              <c:f>Sheet1!$B$12</c:f>
              <c:strCache>
                <c:ptCount val="1"/>
                <c:pt idx="0">
                  <c:v>1 (Temoin)</c:v>
                </c:pt>
              </c:strCache>
            </c:strRef>
          </c:tx>
          <c:spPr>
            <a:ln w="12700"/>
          </c:spPr>
          <c:errBars>
            <c:errDir val="y"/>
            <c:errBarType val="both"/>
            <c:errValType val="cust"/>
            <c:plus>
              <c:numRef>
                <c:f>Sheet1!$I$13:$M$13</c:f>
                <c:numCache>
                  <c:formatCode>General</c:formatCode>
                  <c:ptCount val="5"/>
                  <c:pt idx="0">
                    <c:v>3.9000000000000014E-2</c:v>
                  </c:pt>
                  <c:pt idx="1">
                    <c:v>4.9000000000000113E-2</c:v>
                  </c:pt>
                  <c:pt idx="2">
                    <c:v>5.8000000000000003E-2</c:v>
                  </c:pt>
                  <c:pt idx="3">
                    <c:v>2.7000000000000173E-2</c:v>
                  </c:pt>
                  <c:pt idx="4">
                    <c:v>3.7999999999999999E-2</c:v>
                  </c:pt>
                </c:numCache>
              </c:numRef>
            </c:plus>
            <c:minus>
              <c:numRef>
                <c:f>Sheet1!$I$13:$M$13</c:f>
                <c:numCache>
                  <c:formatCode>General</c:formatCode>
                  <c:ptCount val="5"/>
                  <c:pt idx="0">
                    <c:v>3.9000000000000014E-2</c:v>
                  </c:pt>
                  <c:pt idx="1">
                    <c:v>4.9000000000000113E-2</c:v>
                  </c:pt>
                  <c:pt idx="2">
                    <c:v>5.8000000000000003E-2</c:v>
                  </c:pt>
                  <c:pt idx="3">
                    <c:v>2.7000000000000173E-2</c:v>
                  </c:pt>
                  <c:pt idx="4">
                    <c:v>3.7999999999999999E-2</c:v>
                  </c:pt>
                </c:numCache>
              </c:numRef>
            </c:minus>
          </c:errBars>
          <c:cat>
            <c:strRef>
              <c:f>Sheet1!$A$13:$A$16</c:f>
              <c:strCache>
                <c:ptCount val="4"/>
                <c:pt idx="0">
                  <c:v>T0</c:v>
                </c:pt>
                <c:pt idx="1">
                  <c:v>T1</c:v>
                </c:pt>
                <c:pt idx="2">
                  <c:v>T2</c:v>
                </c:pt>
                <c:pt idx="3">
                  <c:v> T3</c:v>
                </c:pt>
              </c:strCache>
            </c:strRef>
          </c:cat>
          <c:val>
            <c:numRef>
              <c:f>Sheet1!$B$13:$B$16</c:f>
              <c:numCache>
                <c:formatCode>General</c:formatCode>
                <c:ptCount val="4"/>
                <c:pt idx="0">
                  <c:v>5.98</c:v>
                </c:pt>
                <c:pt idx="1">
                  <c:v>6.96</c:v>
                </c:pt>
                <c:pt idx="2">
                  <c:v>7.89</c:v>
                </c:pt>
                <c:pt idx="3">
                  <c:v>8.8000000000000007</c:v>
                </c:pt>
              </c:numCache>
            </c:numRef>
          </c:val>
        </c:ser>
        <c:ser>
          <c:idx val="1"/>
          <c:order val="1"/>
          <c:tx>
            <c:strRef>
              <c:f>Sheet1!$C$12</c:f>
              <c:strCache>
                <c:ptCount val="1"/>
                <c:pt idx="0">
                  <c:v>2 (Lactoserum)</c:v>
                </c:pt>
              </c:strCache>
            </c:strRef>
          </c:tx>
          <c:spPr>
            <a:ln w="12700">
              <a:solidFill>
                <a:srgbClr val="FF9900"/>
              </a:solidFill>
            </a:ln>
          </c:spPr>
          <c:marker>
            <c:symbol val="square"/>
            <c:size val="4"/>
            <c:spPr>
              <a:solidFill>
                <a:srgbClr val="FF9900"/>
              </a:solidFill>
              <a:ln>
                <a:solidFill>
                  <a:srgbClr val="FF9900"/>
                </a:solidFill>
              </a:ln>
            </c:spPr>
          </c:marker>
          <c:errBars>
            <c:errDir val="y"/>
            <c:errBarType val="both"/>
            <c:errValType val="cust"/>
            <c:plus>
              <c:numRef>
                <c:f>Sheet1!$I$14:$M$14</c:f>
                <c:numCache>
                  <c:formatCode>General</c:formatCode>
                  <c:ptCount val="5"/>
                  <c:pt idx="0">
                    <c:v>3.9000000000000014E-2</c:v>
                  </c:pt>
                  <c:pt idx="1">
                    <c:v>3.7999999999999999E-2</c:v>
                  </c:pt>
                  <c:pt idx="2">
                    <c:v>2.8000000000000001E-2</c:v>
                  </c:pt>
                  <c:pt idx="3">
                    <c:v>2.1000000000000012E-2</c:v>
                  </c:pt>
                  <c:pt idx="4">
                    <c:v>2.9000000000000001E-2</c:v>
                  </c:pt>
                </c:numCache>
              </c:numRef>
            </c:plus>
            <c:minus>
              <c:numRef>
                <c:f>Sheet1!$I$14:$M$14</c:f>
                <c:numCache>
                  <c:formatCode>General</c:formatCode>
                  <c:ptCount val="5"/>
                  <c:pt idx="0">
                    <c:v>3.9000000000000014E-2</c:v>
                  </c:pt>
                  <c:pt idx="1">
                    <c:v>3.7999999999999999E-2</c:v>
                  </c:pt>
                  <c:pt idx="2">
                    <c:v>2.8000000000000001E-2</c:v>
                  </c:pt>
                  <c:pt idx="3">
                    <c:v>2.1000000000000012E-2</c:v>
                  </c:pt>
                  <c:pt idx="4">
                    <c:v>2.9000000000000001E-2</c:v>
                  </c:pt>
                </c:numCache>
              </c:numRef>
            </c:minus>
          </c:errBars>
          <c:cat>
            <c:strRef>
              <c:f>Sheet1!$A$13:$A$16</c:f>
              <c:strCache>
                <c:ptCount val="4"/>
                <c:pt idx="0">
                  <c:v>T0</c:v>
                </c:pt>
                <c:pt idx="1">
                  <c:v>T1</c:v>
                </c:pt>
                <c:pt idx="2">
                  <c:v>T2</c:v>
                </c:pt>
                <c:pt idx="3">
                  <c:v> T3</c:v>
                </c:pt>
              </c:strCache>
            </c:strRef>
          </c:cat>
          <c:val>
            <c:numRef>
              <c:f>Sheet1!$C$13:$C$16</c:f>
              <c:numCache>
                <c:formatCode>General</c:formatCode>
                <c:ptCount val="4"/>
                <c:pt idx="0">
                  <c:v>5.9700000000000024</c:v>
                </c:pt>
                <c:pt idx="1">
                  <c:v>7.6599999999999975</c:v>
                </c:pt>
                <c:pt idx="2">
                  <c:v>8.8800000000000008</c:v>
                </c:pt>
                <c:pt idx="3">
                  <c:v>10.130000000000001</c:v>
                </c:pt>
              </c:numCache>
            </c:numRef>
          </c:val>
        </c:ser>
        <c:ser>
          <c:idx val="2"/>
          <c:order val="2"/>
          <c:tx>
            <c:strRef>
              <c:f>Sheet1!$D$12</c:f>
              <c:strCache>
                <c:ptCount val="1"/>
                <c:pt idx="0">
                  <c:v>3 (Promilk)</c:v>
                </c:pt>
              </c:strCache>
            </c:strRef>
          </c:tx>
          <c:spPr>
            <a:ln w="12700">
              <a:solidFill>
                <a:srgbClr val="92D050"/>
              </a:solidFill>
            </a:ln>
          </c:spPr>
          <c:marker>
            <c:spPr>
              <a:solidFill>
                <a:srgbClr val="92D050"/>
              </a:solidFill>
              <a:ln>
                <a:solidFill>
                  <a:srgbClr val="92D050"/>
                </a:solidFill>
              </a:ln>
            </c:spPr>
          </c:marker>
          <c:errBars>
            <c:errDir val="y"/>
            <c:errBarType val="both"/>
            <c:errValType val="cust"/>
            <c:plus>
              <c:numRef>
                <c:f>Sheet1!$I$15:$M$15</c:f>
                <c:numCache>
                  <c:formatCode>General</c:formatCode>
                  <c:ptCount val="5"/>
                  <c:pt idx="0">
                    <c:v>1.9000000000000117E-2</c:v>
                  </c:pt>
                  <c:pt idx="1">
                    <c:v>2.3E-2</c:v>
                  </c:pt>
                  <c:pt idx="2">
                    <c:v>2.5999999999999999E-2</c:v>
                  </c:pt>
                  <c:pt idx="3">
                    <c:v>4.9000000000000113E-2</c:v>
                  </c:pt>
                  <c:pt idx="4">
                    <c:v>2.7000000000000173E-2</c:v>
                  </c:pt>
                </c:numCache>
              </c:numRef>
            </c:plus>
            <c:minus>
              <c:numRef>
                <c:f>Sheet1!$I$15:$M$15</c:f>
                <c:numCache>
                  <c:formatCode>General</c:formatCode>
                  <c:ptCount val="5"/>
                  <c:pt idx="0">
                    <c:v>1.9000000000000117E-2</c:v>
                  </c:pt>
                  <c:pt idx="1">
                    <c:v>2.3E-2</c:v>
                  </c:pt>
                  <c:pt idx="2">
                    <c:v>2.5999999999999999E-2</c:v>
                  </c:pt>
                  <c:pt idx="3">
                    <c:v>4.9000000000000113E-2</c:v>
                  </c:pt>
                  <c:pt idx="4">
                    <c:v>2.7000000000000173E-2</c:v>
                  </c:pt>
                </c:numCache>
              </c:numRef>
            </c:minus>
          </c:errBars>
          <c:cat>
            <c:strRef>
              <c:f>Sheet1!$A$13:$A$16</c:f>
              <c:strCache>
                <c:ptCount val="4"/>
                <c:pt idx="0">
                  <c:v>T0</c:v>
                </c:pt>
                <c:pt idx="1">
                  <c:v>T1</c:v>
                </c:pt>
                <c:pt idx="2">
                  <c:v>T2</c:v>
                </c:pt>
                <c:pt idx="3">
                  <c:v> T3</c:v>
                </c:pt>
              </c:strCache>
            </c:strRef>
          </c:cat>
          <c:val>
            <c:numRef>
              <c:f>Sheet1!$D$13:$D$16</c:f>
              <c:numCache>
                <c:formatCode>General</c:formatCode>
                <c:ptCount val="4"/>
                <c:pt idx="0">
                  <c:v>5.9700000000000024</c:v>
                </c:pt>
                <c:pt idx="1">
                  <c:v>7.1</c:v>
                </c:pt>
                <c:pt idx="2">
                  <c:v>8.26</c:v>
                </c:pt>
                <c:pt idx="3">
                  <c:v>9.23</c:v>
                </c:pt>
              </c:numCache>
            </c:numRef>
          </c:val>
        </c:ser>
        <c:ser>
          <c:idx val="3"/>
          <c:order val="3"/>
          <c:tx>
            <c:strRef>
              <c:f>Sheet1!$E$12</c:f>
              <c:strCache>
                <c:ptCount val="1"/>
                <c:pt idx="0">
                  <c:v>4 (H. Caseine)</c:v>
                </c:pt>
              </c:strCache>
            </c:strRef>
          </c:tx>
          <c:spPr>
            <a:ln w="12700">
              <a:solidFill>
                <a:srgbClr val="990099"/>
              </a:solidFill>
            </a:ln>
          </c:spPr>
          <c:marker>
            <c:spPr>
              <a:solidFill>
                <a:srgbClr val="990099"/>
              </a:solidFill>
              <a:ln>
                <a:solidFill>
                  <a:srgbClr val="990099"/>
                </a:solidFill>
              </a:ln>
            </c:spPr>
          </c:marker>
          <c:errBars>
            <c:errDir val="y"/>
            <c:errBarType val="both"/>
            <c:errValType val="cust"/>
            <c:plus>
              <c:numRef>
                <c:f>Sheet1!$I$16:$M$16</c:f>
                <c:numCache>
                  <c:formatCode>General</c:formatCode>
                  <c:ptCount val="5"/>
                  <c:pt idx="0">
                    <c:v>3.1000000000000052E-2</c:v>
                  </c:pt>
                  <c:pt idx="1">
                    <c:v>2.5000000000000001E-2</c:v>
                  </c:pt>
                  <c:pt idx="2">
                    <c:v>2.5000000000000001E-2</c:v>
                  </c:pt>
                  <c:pt idx="3">
                    <c:v>4.8000000000000001E-2</c:v>
                  </c:pt>
                  <c:pt idx="4">
                    <c:v>3.1000000000000052E-2</c:v>
                  </c:pt>
                </c:numCache>
              </c:numRef>
            </c:plus>
            <c:minus>
              <c:numRef>
                <c:f>Sheet1!$I$16:$M$16</c:f>
                <c:numCache>
                  <c:formatCode>General</c:formatCode>
                  <c:ptCount val="5"/>
                  <c:pt idx="0">
                    <c:v>3.1000000000000052E-2</c:v>
                  </c:pt>
                  <c:pt idx="1">
                    <c:v>2.5000000000000001E-2</c:v>
                  </c:pt>
                  <c:pt idx="2">
                    <c:v>2.5000000000000001E-2</c:v>
                  </c:pt>
                  <c:pt idx="3">
                    <c:v>4.8000000000000001E-2</c:v>
                  </c:pt>
                  <c:pt idx="4">
                    <c:v>3.1000000000000052E-2</c:v>
                  </c:pt>
                </c:numCache>
              </c:numRef>
            </c:minus>
          </c:errBars>
          <c:cat>
            <c:strRef>
              <c:f>Sheet1!$A$13:$A$16</c:f>
              <c:strCache>
                <c:ptCount val="4"/>
                <c:pt idx="0">
                  <c:v>T0</c:v>
                </c:pt>
                <c:pt idx="1">
                  <c:v>T1</c:v>
                </c:pt>
                <c:pt idx="2">
                  <c:v>T2</c:v>
                </c:pt>
                <c:pt idx="3">
                  <c:v> T3</c:v>
                </c:pt>
              </c:strCache>
            </c:strRef>
          </c:cat>
          <c:val>
            <c:numRef>
              <c:f>Sheet1!$E$13:$E$16</c:f>
              <c:numCache>
                <c:formatCode>General</c:formatCode>
                <c:ptCount val="4"/>
                <c:pt idx="0">
                  <c:v>5.99</c:v>
                </c:pt>
                <c:pt idx="1">
                  <c:v>7.28</c:v>
                </c:pt>
                <c:pt idx="2">
                  <c:v>8.44</c:v>
                </c:pt>
                <c:pt idx="3">
                  <c:v>9.4500000000000028</c:v>
                </c:pt>
              </c:numCache>
            </c:numRef>
          </c:val>
        </c:ser>
        <c:ser>
          <c:idx val="4"/>
          <c:order val="4"/>
          <c:tx>
            <c:strRef>
              <c:f>Sheet1!$F$12</c:f>
              <c:strCache>
                <c:ptCount val="1"/>
                <c:pt idx="0">
                  <c:v>5 (H. Proteine)</c:v>
                </c:pt>
              </c:strCache>
            </c:strRef>
          </c:tx>
          <c:spPr>
            <a:ln w="12700">
              <a:solidFill>
                <a:srgbClr val="FF33CC"/>
              </a:solidFill>
            </a:ln>
          </c:spPr>
          <c:marker>
            <c:symbol val="circle"/>
            <c:size val="4"/>
            <c:spPr>
              <a:solidFill>
                <a:srgbClr val="FF33CC"/>
              </a:solidFill>
              <a:ln>
                <a:solidFill>
                  <a:srgbClr val="FF33CC"/>
                </a:solidFill>
              </a:ln>
            </c:spPr>
          </c:marker>
          <c:cat>
            <c:strRef>
              <c:f>Sheet1!$A$13:$A$16</c:f>
              <c:strCache>
                <c:ptCount val="4"/>
                <c:pt idx="0">
                  <c:v>T0</c:v>
                </c:pt>
                <c:pt idx="1">
                  <c:v>T1</c:v>
                </c:pt>
                <c:pt idx="2">
                  <c:v>T2</c:v>
                </c:pt>
                <c:pt idx="3">
                  <c:v> T3</c:v>
                </c:pt>
              </c:strCache>
            </c:strRef>
          </c:cat>
          <c:val>
            <c:numRef>
              <c:f>Sheet1!$F$13:$F$16</c:f>
              <c:numCache>
                <c:formatCode>General</c:formatCode>
                <c:ptCount val="4"/>
                <c:pt idx="0">
                  <c:v>5.9700000000000024</c:v>
                </c:pt>
                <c:pt idx="1">
                  <c:v>7.4300000000000024</c:v>
                </c:pt>
                <c:pt idx="2">
                  <c:v>8.41</c:v>
                </c:pt>
                <c:pt idx="3">
                  <c:v>9.41</c:v>
                </c:pt>
              </c:numCache>
            </c:numRef>
          </c:val>
        </c:ser>
        <c:marker val="1"/>
        <c:axId val="60585472"/>
        <c:axId val="60600320"/>
      </c:lineChart>
      <c:catAx>
        <c:axId val="60585472"/>
        <c:scaling>
          <c:orientation val="minMax"/>
        </c:scaling>
        <c:axPos val="b"/>
        <c:title>
          <c:tx>
            <c:rich>
              <a:bodyPr/>
              <a:lstStyle/>
              <a:p>
                <a:pPr>
                  <a:defRPr>
                    <a:latin typeface="Times New Roman" pitchFamily="18" charset="0"/>
                    <a:cs typeface="Times New Roman" pitchFamily="18" charset="0"/>
                  </a:defRPr>
                </a:pPr>
                <a:r>
                  <a:rPr lang="en-US">
                    <a:latin typeface="Times New Roman" pitchFamily="18" charset="0"/>
                    <a:cs typeface="Times New Roman" pitchFamily="18" charset="0"/>
                  </a:rPr>
                  <a:t>Temps (h)</a:t>
                </a:r>
              </a:p>
            </c:rich>
          </c:tx>
          <c:layout>
            <c:manualLayout>
              <c:xMode val="edge"/>
              <c:yMode val="edge"/>
              <c:x val="0.39647660141553798"/>
              <c:y val="0.92716862349501683"/>
            </c:manualLayout>
          </c:layout>
        </c:title>
        <c:numFmt formatCode="General" sourceLinked="1"/>
        <c:tickLblPos val="nextTo"/>
        <c:spPr>
          <a:ln w="9525">
            <a:solidFill>
              <a:sysClr val="windowText" lastClr="000000"/>
            </a:solidFill>
          </a:ln>
        </c:spPr>
        <c:txPr>
          <a:bodyPr/>
          <a:lstStyle/>
          <a:p>
            <a:pPr>
              <a:defRPr b="1" i="0" baseline="0"/>
            </a:pPr>
            <a:endParaRPr lang="fr-FR"/>
          </a:p>
        </c:txPr>
        <c:crossAx val="60600320"/>
        <c:crosses val="autoZero"/>
        <c:auto val="1"/>
        <c:lblAlgn val="ctr"/>
        <c:lblOffset val="100"/>
      </c:catAx>
      <c:valAx>
        <c:axId val="60600320"/>
        <c:scaling>
          <c:orientation val="minMax"/>
          <c:max val="10.5"/>
          <c:min val="5.5"/>
        </c:scaling>
        <c:axPos val="l"/>
        <c:title>
          <c:tx>
            <c:rich>
              <a:bodyPr rot="-5400000" vert="horz"/>
              <a:lstStyle/>
              <a:p>
                <a:pPr>
                  <a:defRPr/>
                </a:pPr>
                <a:r>
                  <a:rPr lang="en-US" sz="1000">
                    <a:latin typeface="Times New Roman" pitchFamily="18" charset="0"/>
                    <a:cs typeface="Times New Roman" pitchFamily="18" charset="0"/>
                  </a:rPr>
                  <a:t>log UFC/ml</a:t>
                </a:r>
              </a:p>
            </c:rich>
          </c:tx>
          <c:layout/>
        </c:title>
        <c:numFmt formatCode="General" sourceLinked="1"/>
        <c:tickLblPos val="nextTo"/>
        <c:spPr>
          <a:ln w="9525">
            <a:solidFill>
              <a:schemeClr val="tx1"/>
            </a:solidFill>
          </a:ln>
        </c:spPr>
        <c:txPr>
          <a:bodyPr/>
          <a:lstStyle/>
          <a:p>
            <a:pPr>
              <a:defRPr b="1" i="0" baseline="0"/>
            </a:pPr>
            <a:endParaRPr lang="fr-FR"/>
          </a:p>
        </c:txPr>
        <c:crossAx val="60585472"/>
        <c:crosses val="autoZero"/>
        <c:crossBetween val="midCat"/>
        <c:majorUnit val="0.5"/>
      </c:valAx>
    </c:plotArea>
    <c:plotVisOnly val="1"/>
    <c:dispBlanksAs val="gap"/>
  </c:chart>
  <c:spPr>
    <a:noFill/>
    <a:ln>
      <a:noFill/>
    </a:ln>
  </c:spPr>
  <c:externalData r:id="rId1"/>
  <c:userShapes r:id="rId2"/>
</c:chartSpace>
</file>

<file path=word/charts/chart23.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a:pPr>
            <a:r>
              <a:rPr lang="fr-FR" b="0">
                <a:latin typeface="Times New Roman" pitchFamily="18" charset="0"/>
                <a:cs typeface="Times New Roman" pitchFamily="18" charset="0"/>
              </a:rPr>
              <a:t>C</a:t>
            </a:r>
          </a:p>
        </c:rich>
      </c:tx>
      <c:layout>
        <c:manualLayout>
          <c:xMode val="edge"/>
          <c:yMode val="edge"/>
          <c:x val="1.2221250121512432E-3"/>
          <c:y val="0"/>
        </c:manualLayout>
      </c:layout>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21286753712747974"/>
          <c:y val="0.15637269846444971"/>
          <c:w val="0.69289977641683986"/>
          <c:h val="0.62002977239785828"/>
        </c:manualLayout>
      </c:layout>
      <c:lineChart>
        <c:grouping val="standard"/>
        <c:ser>
          <c:idx val="0"/>
          <c:order val="0"/>
          <c:tx>
            <c:strRef>
              <c:f>[1]Sheet2!$B$25</c:f>
              <c:strCache>
                <c:ptCount val="1"/>
                <c:pt idx="0">
                  <c:v>1 (Temoin)</c:v>
                </c:pt>
              </c:strCache>
            </c:strRef>
          </c:tx>
          <c:spPr>
            <a:ln w="12700"/>
          </c:spPr>
          <c:marker>
            <c:symbol val="diamond"/>
            <c:size val="4"/>
          </c:marker>
          <c:errBars>
            <c:errDir val="y"/>
            <c:errBarType val="both"/>
            <c:errValType val="cust"/>
            <c:plus>
              <c:numRef>
                <c:f>[1]Sheet2!$I$26:$I$29</c:f>
                <c:numCache>
                  <c:formatCode>General</c:formatCode>
                  <c:ptCount val="4"/>
                  <c:pt idx="0">
                    <c:v>4.2000000000000023E-2</c:v>
                  </c:pt>
                  <c:pt idx="1">
                    <c:v>2.9000000000000001E-2</c:v>
                  </c:pt>
                  <c:pt idx="2">
                    <c:v>2.1999999999999999E-2</c:v>
                  </c:pt>
                  <c:pt idx="3">
                    <c:v>3.1000000000000052E-2</c:v>
                  </c:pt>
                </c:numCache>
              </c:numRef>
            </c:plus>
            <c:minus>
              <c:numRef>
                <c:f>[1]Sheet2!$I$26:$I$29</c:f>
                <c:numCache>
                  <c:formatCode>General</c:formatCode>
                  <c:ptCount val="4"/>
                  <c:pt idx="0">
                    <c:v>4.2000000000000023E-2</c:v>
                  </c:pt>
                  <c:pt idx="1">
                    <c:v>2.9000000000000001E-2</c:v>
                  </c:pt>
                  <c:pt idx="2">
                    <c:v>2.1999999999999999E-2</c:v>
                  </c:pt>
                  <c:pt idx="3">
                    <c:v>3.1000000000000052E-2</c:v>
                  </c:pt>
                </c:numCache>
              </c:numRef>
            </c:minus>
          </c:errBars>
          <c:cat>
            <c:strRef>
              <c:f>[1]Sheet2!$A$26:$A$29</c:f>
              <c:strCache>
                <c:ptCount val="4"/>
                <c:pt idx="0">
                  <c:v>T0</c:v>
                </c:pt>
                <c:pt idx="1">
                  <c:v>T1</c:v>
                </c:pt>
                <c:pt idx="2">
                  <c:v>T2</c:v>
                </c:pt>
                <c:pt idx="3">
                  <c:v> T3</c:v>
                </c:pt>
              </c:strCache>
            </c:strRef>
          </c:cat>
          <c:val>
            <c:numRef>
              <c:f>[1]Sheet2!$B$26:$B$29</c:f>
              <c:numCache>
                <c:formatCode>General</c:formatCode>
                <c:ptCount val="4"/>
                <c:pt idx="0">
                  <c:v>5.98</c:v>
                </c:pt>
                <c:pt idx="1">
                  <c:v>7.08</c:v>
                </c:pt>
                <c:pt idx="2">
                  <c:v>8.01</c:v>
                </c:pt>
                <c:pt idx="3">
                  <c:v>9.09</c:v>
                </c:pt>
              </c:numCache>
            </c:numRef>
          </c:val>
        </c:ser>
        <c:ser>
          <c:idx val="1"/>
          <c:order val="1"/>
          <c:tx>
            <c:strRef>
              <c:f>[1]Sheet2!$C$25</c:f>
              <c:strCache>
                <c:ptCount val="1"/>
                <c:pt idx="0">
                  <c:v>2 (Lactoserum)</c:v>
                </c:pt>
              </c:strCache>
            </c:strRef>
          </c:tx>
          <c:spPr>
            <a:ln w="15875">
              <a:solidFill>
                <a:srgbClr val="FF9900"/>
              </a:solidFill>
            </a:ln>
          </c:spPr>
          <c:marker>
            <c:symbol val="square"/>
            <c:size val="4"/>
            <c:spPr>
              <a:solidFill>
                <a:srgbClr val="FF9900"/>
              </a:solidFill>
              <a:ln>
                <a:solidFill>
                  <a:srgbClr val="FF9900"/>
                </a:solidFill>
              </a:ln>
            </c:spPr>
          </c:marker>
          <c:errBars>
            <c:errDir val="y"/>
            <c:errBarType val="both"/>
            <c:errValType val="cust"/>
            <c:plus>
              <c:numRef>
                <c:f>[1]Sheet2!$J$29</c:f>
                <c:numCache>
                  <c:formatCode>General</c:formatCode>
                  <c:ptCount val="1"/>
                  <c:pt idx="0">
                    <c:v>3.2000000000000042E-2</c:v>
                  </c:pt>
                </c:numCache>
              </c:numRef>
            </c:plus>
            <c:minus>
              <c:numRef>
                <c:f>[1]Sheet2!$J$26:$J$29</c:f>
                <c:numCache>
                  <c:formatCode>General</c:formatCode>
                  <c:ptCount val="4"/>
                  <c:pt idx="0">
                    <c:v>2.4E-2</c:v>
                  </c:pt>
                  <c:pt idx="1">
                    <c:v>2.9000000000000001E-2</c:v>
                  </c:pt>
                  <c:pt idx="2">
                    <c:v>3.5999999999999997E-2</c:v>
                  </c:pt>
                  <c:pt idx="3">
                    <c:v>3.2000000000000042E-2</c:v>
                  </c:pt>
                </c:numCache>
              </c:numRef>
            </c:minus>
          </c:errBars>
          <c:cat>
            <c:strRef>
              <c:f>[1]Sheet2!$A$26:$A$29</c:f>
              <c:strCache>
                <c:ptCount val="4"/>
                <c:pt idx="0">
                  <c:v>T0</c:v>
                </c:pt>
                <c:pt idx="1">
                  <c:v>T1</c:v>
                </c:pt>
                <c:pt idx="2">
                  <c:v>T2</c:v>
                </c:pt>
                <c:pt idx="3">
                  <c:v> T3</c:v>
                </c:pt>
              </c:strCache>
            </c:strRef>
          </c:cat>
          <c:val>
            <c:numRef>
              <c:f>[1]Sheet2!$C$26:$C$29</c:f>
              <c:numCache>
                <c:formatCode>General</c:formatCode>
                <c:ptCount val="4"/>
                <c:pt idx="0">
                  <c:v>5.99</c:v>
                </c:pt>
                <c:pt idx="1">
                  <c:v>7.44</c:v>
                </c:pt>
                <c:pt idx="2">
                  <c:v>8.4</c:v>
                </c:pt>
                <c:pt idx="3">
                  <c:v>9.9500000000000028</c:v>
                </c:pt>
              </c:numCache>
            </c:numRef>
          </c:val>
        </c:ser>
        <c:ser>
          <c:idx val="2"/>
          <c:order val="2"/>
          <c:tx>
            <c:strRef>
              <c:f>[1]Sheet2!$D$25</c:f>
              <c:strCache>
                <c:ptCount val="1"/>
                <c:pt idx="0">
                  <c:v>3 (Promilk)</c:v>
                </c:pt>
              </c:strCache>
            </c:strRef>
          </c:tx>
          <c:spPr>
            <a:ln w="15875">
              <a:solidFill>
                <a:srgbClr val="92D050"/>
              </a:solidFill>
            </a:ln>
          </c:spPr>
          <c:marker>
            <c:symbol val="triangle"/>
            <c:size val="4"/>
            <c:spPr>
              <a:solidFill>
                <a:srgbClr val="92D050"/>
              </a:solidFill>
              <a:ln>
                <a:solidFill>
                  <a:srgbClr val="92D050"/>
                </a:solidFill>
              </a:ln>
            </c:spPr>
          </c:marker>
          <c:errBars>
            <c:errDir val="y"/>
            <c:errBarType val="both"/>
            <c:errValType val="cust"/>
            <c:plus>
              <c:numRef>
                <c:f>[1]Sheet2!$K$26:$K$29</c:f>
                <c:numCache>
                  <c:formatCode>General</c:formatCode>
                  <c:ptCount val="4"/>
                  <c:pt idx="0">
                    <c:v>2.5000000000000001E-2</c:v>
                  </c:pt>
                  <c:pt idx="1">
                    <c:v>4.1000000000000002E-2</c:v>
                  </c:pt>
                  <c:pt idx="2">
                    <c:v>4.3000000000000003E-2</c:v>
                  </c:pt>
                  <c:pt idx="3">
                    <c:v>4.3000000000000003E-2</c:v>
                  </c:pt>
                </c:numCache>
              </c:numRef>
            </c:plus>
            <c:minus>
              <c:numRef>
                <c:f>[1]Sheet2!$K$26:$K$29</c:f>
                <c:numCache>
                  <c:formatCode>General</c:formatCode>
                  <c:ptCount val="4"/>
                  <c:pt idx="0">
                    <c:v>2.5000000000000001E-2</c:v>
                  </c:pt>
                  <c:pt idx="1">
                    <c:v>4.1000000000000002E-2</c:v>
                  </c:pt>
                  <c:pt idx="2">
                    <c:v>4.3000000000000003E-2</c:v>
                  </c:pt>
                  <c:pt idx="3">
                    <c:v>4.3000000000000003E-2</c:v>
                  </c:pt>
                </c:numCache>
              </c:numRef>
            </c:minus>
          </c:errBars>
          <c:cat>
            <c:strRef>
              <c:f>[1]Sheet2!$A$26:$A$29</c:f>
              <c:strCache>
                <c:ptCount val="4"/>
                <c:pt idx="0">
                  <c:v>T0</c:v>
                </c:pt>
                <c:pt idx="1">
                  <c:v>T1</c:v>
                </c:pt>
                <c:pt idx="2">
                  <c:v>T2</c:v>
                </c:pt>
                <c:pt idx="3">
                  <c:v> T3</c:v>
                </c:pt>
              </c:strCache>
            </c:strRef>
          </c:cat>
          <c:val>
            <c:numRef>
              <c:f>[1]Sheet2!$D$26:$D$29</c:f>
              <c:numCache>
                <c:formatCode>General</c:formatCode>
                <c:ptCount val="4"/>
                <c:pt idx="0">
                  <c:v>5.8199999999999985</c:v>
                </c:pt>
                <c:pt idx="1">
                  <c:v>7.1499999999999995</c:v>
                </c:pt>
                <c:pt idx="2">
                  <c:v>8.15</c:v>
                </c:pt>
                <c:pt idx="3">
                  <c:v>9.3000000000000007</c:v>
                </c:pt>
              </c:numCache>
            </c:numRef>
          </c:val>
        </c:ser>
        <c:ser>
          <c:idx val="3"/>
          <c:order val="3"/>
          <c:tx>
            <c:strRef>
              <c:f>[1]Sheet2!$E$25</c:f>
              <c:strCache>
                <c:ptCount val="1"/>
                <c:pt idx="0">
                  <c:v>4 (H. Caseine)</c:v>
                </c:pt>
              </c:strCache>
            </c:strRef>
          </c:tx>
          <c:spPr>
            <a:ln w="15875">
              <a:solidFill>
                <a:srgbClr val="990099"/>
              </a:solidFill>
            </a:ln>
          </c:spPr>
          <c:marker>
            <c:symbol val="x"/>
            <c:size val="5"/>
            <c:spPr>
              <a:solidFill>
                <a:srgbClr val="990099"/>
              </a:solidFill>
              <a:ln>
                <a:solidFill>
                  <a:srgbClr val="990099"/>
                </a:solidFill>
              </a:ln>
            </c:spPr>
          </c:marker>
          <c:errBars>
            <c:errDir val="y"/>
            <c:errBarType val="both"/>
            <c:errValType val="cust"/>
            <c:plus>
              <c:numRef>
                <c:f>[1]Sheet2!$L$26:$L$29</c:f>
                <c:numCache>
                  <c:formatCode>General</c:formatCode>
                  <c:ptCount val="4"/>
                  <c:pt idx="0">
                    <c:v>2.5999999999999999E-2</c:v>
                  </c:pt>
                  <c:pt idx="1">
                    <c:v>3.9000000000000014E-2</c:v>
                  </c:pt>
                  <c:pt idx="2">
                    <c:v>4.1000000000000002E-2</c:v>
                  </c:pt>
                  <c:pt idx="3">
                    <c:v>3.2000000000000042E-2</c:v>
                  </c:pt>
                </c:numCache>
              </c:numRef>
            </c:plus>
            <c:minus>
              <c:numRef>
                <c:f>[1]Sheet2!$L$26:$L$29</c:f>
                <c:numCache>
                  <c:formatCode>General</c:formatCode>
                  <c:ptCount val="4"/>
                  <c:pt idx="0">
                    <c:v>2.5999999999999999E-2</c:v>
                  </c:pt>
                  <c:pt idx="1">
                    <c:v>3.9000000000000014E-2</c:v>
                  </c:pt>
                  <c:pt idx="2">
                    <c:v>4.1000000000000002E-2</c:v>
                  </c:pt>
                  <c:pt idx="3">
                    <c:v>3.2000000000000042E-2</c:v>
                  </c:pt>
                </c:numCache>
              </c:numRef>
            </c:minus>
          </c:errBars>
          <c:cat>
            <c:strRef>
              <c:f>[1]Sheet2!$A$26:$A$29</c:f>
              <c:strCache>
                <c:ptCount val="4"/>
                <c:pt idx="0">
                  <c:v>T0</c:v>
                </c:pt>
                <c:pt idx="1">
                  <c:v>T1</c:v>
                </c:pt>
                <c:pt idx="2">
                  <c:v>T2</c:v>
                </c:pt>
                <c:pt idx="3">
                  <c:v> T3</c:v>
                </c:pt>
              </c:strCache>
            </c:strRef>
          </c:cat>
          <c:val>
            <c:numRef>
              <c:f>[1]Sheet2!$E$26:$E$29</c:f>
              <c:numCache>
                <c:formatCode>General</c:formatCode>
                <c:ptCount val="4"/>
                <c:pt idx="0">
                  <c:v>5.94</c:v>
                </c:pt>
                <c:pt idx="1">
                  <c:v>7.23</c:v>
                </c:pt>
                <c:pt idx="2">
                  <c:v>8.09</c:v>
                </c:pt>
                <c:pt idx="3">
                  <c:v>9.43</c:v>
                </c:pt>
              </c:numCache>
            </c:numRef>
          </c:val>
        </c:ser>
        <c:ser>
          <c:idx val="4"/>
          <c:order val="4"/>
          <c:tx>
            <c:strRef>
              <c:f>[1]Sheet2!$F$25</c:f>
              <c:strCache>
                <c:ptCount val="1"/>
                <c:pt idx="0">
                  <c:v>5 (H. Proteine)</c:v>
                </c:pt>
              </c:strCache>
            </c:strRef>
          </c:tx>
          <c:spPr>
            <a:ln w="12700">
              <a:solidFill>
                <a:srgbClr val="FF33CC"/>
              </a:solidFill>
            </a:ln>
          </c:spPr>
          <c:marker>
            <c:symbol val="circle"/>
            <c:size val="4"/>
            <c:spPr>
              <a:solidFill>
                <a:srgbClr val="FF33CC"/>
              </a:solidFill>
              <a:ln>
                <a:solidFill>
                  <a:srgbClr val="FF33CC"/>
                </a:solidFill>
              </a:ln>
            </c:spPr>
          </c:marker>
          <c:errBars>
            <c:errDir val="y"/>
            <c:errBarType val="both"/>
            <c:errValType val="cust"/>
            <c:plus>
              <c:numRef>
                <c:f>[1]Sheet2!$M$26:$M$29</c:f>
                <c:numCache>
                  <c:formatCode>General</c:formatCode>
                  <c:ptCount val="4"/>
                  <c:pt idx="0">
                    <c:v>1.9000000000000093E-2</c:v>
                  </c:pt>
                  <c:pt idx="1">
                    <c:v>4.5999999999999999E-2</c:v>
                  </c:pt>
                  <c:pt idx="2">
                    <c:v>2.4E-2</c:v>
                  </c:pt>
                  <c:pt idx="3">
                    <c:v>2.1000000000000012E-2</c:v>
                  </c:pt>
                </c:numCache>
              </c:numRef>
            </c:plus>
            <c:minus>
              <c:numRef>
                <c:f>[1]Sheet2!$M$26:$M$29</c:f>
                <c:numCache>
                  <c:formatCode>General</c:formatCode>
                  <c:ptCount val="4"/>
                  <c:pt idx="0">
                    <c:v>1.9000000000000093E-2</c:v>
                  </c:pt>
                  <c:pt idx="1">
                    <c:v>4.5999999999999999E-2</c:v>
                  </c:pt>
                  <c:pt idx="2">
                    <c:v>2.4E-2</c:v>
                  </c:pt>
                  <c:pt idx="3">
                    <c:v>2.1000000000000012E-2</c:v>
                  </c:pt>
                </c:numCache>
              </c:numRef>
            </c:minus>
            <c:spPr>
              <a:ln w="3175">
                <a:solidFill>
                  <a:srgbClr val="000000"/>
                </a:solidFill>
                <a:prstDash val="solid"/>
              </a:ln>
            </c:spPr>
          </c:errBars>
          <c:cat>
            <c:strRef>
              <c:f>[1]Sheet2!$A$26:$A$29</c:f>
              <c:strCache>
                <c:ptCount val="4"/>
                <c:pt idx="0">
                  <c:v>T0</c:v>
                </c:pt>
                <c:pt idx="1">
                  <c:v>T1</c:v>
                </c:pt>
                <c:pt idx="2">
                  <c:v>T2</c:v>
                </c:pt>
                <c:pt idx="3">
                  <c:v> T3</c:v>
                </c:pt>
              </c:strCache>
            </c:strRef>
          </c:cat>
          <c:val>
            <c:numRef>
              <c:f>[1]Sheet2!$F$26:$F$29</c:f>
              <c:numCache>
                <c:formatCode>General</c:formatCode>
                <c:ptCount val="4"/>
                <c:pt idx="0">
                  <c:v>5.9700000000000024</c:v>
                </c:pt>
                <c:pt idx="1">
                  <c:v>7.2</c:v>
                </c:pt>
                <c:pt idx="2">
                  <c:v>8.2299999999999986</c:v>
                </c:pt>
                <c:pt idx="3">
                  <c:v>9.3700000000000028</c:v>
                </c:pt>
              </c:numCache>
            </c:numRef>
          </c:val>
        </c:ser>
        <c:marker val="1"/>
        <c:axId val="60649856"/>
        <c:axId val="60651776"/>
      </c:lineChart>
      <c:catAx>
        <c:axId val="60649856"/>
        <c:scaling>
          <c:orientation val="minMax"/>
        </c:scaling>
        <c:axPos val="b"/>
        <c:title>
          <c:tx>
            <c:rich>
              <a:bodyPr/>
              <a:lstStyle/>
              <a:p>
                <a:pPr>
                  <a:defRPr>
                    <a:latin typeface="Times New Roman" pitchFamily="18" charset="0"/>
                    <a:cs typeface="Times New Roman" pitchFamily="18" charset="0"/>
                  </a:defRPr>
                </a:pPr>
                <a:r>
                  <a:rPr lang="en-US">
                    <a:latin typeface="Times New Roman" pitchFamily="18" charset="0"/>
                    <a:cs typeface="Times New Roman" pitchFamily="18" charset="0"/>
                  </a:rPr>
                  <a:t>Temps (h)</a:t>
                </a:r>
              </a:p>
            </c:rich>
          </c:tx>
          <c:layout>
            <c:manualLayout>
              <c:xMode val="edge"/>
              <c:yMode val="edge"/>
              <c:x val="0.40343593414459555"/>
              <c:y val="0.9151894072942377"/>
            </c:manualLayout>
          </c:layout>
        </c:title>
        <c:numFmt formatCode="General" sourceLinked="1"/>
        <c:tickLblPos val="nextTo"/>
        <c:spPr>
          <a:ln w="9525">
            <a:solidFill>
              <a:schemeClr val="tx1"/>
            </a:solidFill>
          </a:ln>
        </c:spPr>
        <c:txPr>
          <a:bodyPr/>
          <a:lstStyle/>
          <a:p>
            <a:pPr>
              <a:defRPr b="1" i="0" baseline="0"/>
            </a:pPr>
            <a:endParaRPr lang="fr-FR"/>
          </a:p>
        </c:txPr>
        <c:crossAx val="60651776"/>
        <c:crosses val="autoZero"/>
        <c:auto val="1"/>
        <c:lblAlgn val="ctr"/>
        <c:lblOffset val="100"/>
      </c:catAx>
      <c:valAx>
        <c:axId val="60651776"/>
        <c:scaling>
          <c:orientation val="minMax"/>
          <c:max val="10.5"/>
          <c:min val="5"/>
        </c:scaling>
        <c:axPos val="l"/>
        <c:title>
          <c:tx>
            <c:rich>
              <a:bodyPr rot="-5400000" vert="horz"/>
              <a:lstStyle/>
              <a:p>
                <a:pPr>
                  <a:defRPr/>
                </a:pPr>
                <a:r>
                  <a:rPr lang="en-US"/>
                  <a:t>log UFC/ml</a:t>
                </a:r>
              </a:p>
            </c:rich>
          </c:tx>
          <c:layout/>
        </c:title>
        <c:numFmt formatCode="General" sourceLinked="1"/>
        <c:tickLblPos val="nextTo"/>
        <c:spPr>
          <a:ln w="9525">
            <a:solidFill>
              <a:schemeClr val="tx1"/>
            </a:solidFill>
          </a:ln>
        </c:spPr>
        <c:txPr>
          <a:bodyPr/>
          <a:lstStyle/>
          <a:p>
            <a:pPr>
              <a:defRPr b="1" i="0" baseline="0"/>
            </a:pPr>
            <a:endParaRPr lang="fr-FR"/>
          </a:p>
        </c:txPr>
        <c:crossAx val="60649856"/>
        <c:crosses val="autoZero"/>
        <c:crossBetween val="midCat"/>
        <c:majorUnit val="0.5"/>
        <c:minorUnit val="0.2"/>
      </c:valAx>
    </c:plotArea>
    <c:plotVisOnly val="1"/>
    <c:dispBlanksAs val="gap"/>
  </c:chart>
  <c:spPr>
    <a:ln>
      <a:noFill/>
    </a:ln>
  </c:spPr>
  <c:externalData r:id="rId1"/>
  <c:userShapes r:id="rId2"/>
</c:chartSpace>
</file>

<file path=word/charts/chart24.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a:pPr>
            <a:r>
              <a:rPr lang="fr-FR" b="0">
                <a:latin typeface="Times New Roman" pitchFamily="18" charset="0"/>
                <a:cs typeface="Times New Roman" pitchFamily="18" charset="0"/>
              </a:rPr>
              <a:t>B</a:t>
            </a:r>
          </a:p>
        </c:rich>
      </c:tx>
      <c:layout>
        <c:manualLayout>
          <c:xMode val="edge"/>
          <c:yMode val="edge"/>
          <c:x val="5.4095624284481196E-4"/>
          <c:y val="1.3071895424836603E-2"/>
        </c:manualLayout>
      </c:layout>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26023688792352156"/>
          <c:y val="0.15433379651073084"/>
          <c:w val="0.63377226187729152"/>
          <c:h val="0.65482223812932971"/>
        </c:manualLayout>
      </c:layout>
      <c:lineChart>
        <c:grouping val="standard"/>
        <c:ser>
          <c:idx val="0"/>
          <c:order val="0"/>
          <c:tx>
            <c:strRef>
              <c:f>Sheet1!$B$12</c:f>
              <c:strCache>
                <c:ptCount val="1"/>
                <c:pt idx="0">
                  <c:v>1 (Temoin)</c:v>
                </c:pt>
              </c:strCache>
            </c:strRef>
          </c:tx>
          <c:spPr>
            <a:ln w="12700"/>
          </c:spPr>
          <c:errBars>
            <c:errDir val="y"/>
            <c:errBarType val="both"/>
            <c:errValType val="cust"/>
            <c:plus>
              <c:numRef>
                <c:f>Sheet1!$I$13:$M$13</c:f>
                <c:numCache>
                  <c:formatCode>General</c:formatCode>
                  <c:ptCount val="5"/>
                  <c:pt idx="0">
                    <c:v>3.9000000000000014E-2</c:v>
                  </c:pt>
                  <c:pt idx="1">
                    <c:v>0.05</c:v>
                  </c:pt>
                  <c:pt idx="2">
                    <c:v>4.5000000000000012E-2</c:v>
                  </c:pt>
                  <c:pt idx="3">
                    <c:v>2.9000000000000001E-2</c:v>
                  </c:pt>
                  <c:pt idx="4">
                    <c:v>2.5999999999999999E-2</c:v>
                  </c:pt>
                </c:numCache>
              </c:numRef>
            </c:plus>
            <c:minus>
              <c:numRef>
                <c:f>Sheet1!$I$13:$M$13</c:f>
                <c:numCache>
                  <c:formatCode>General</c:formatCode>
                  <c:ptCount val="5"/>
                  <c:pt idx="0">
                    <c:v>3.9000000000000014E-2</c:v>
                  </c:pt>
                  <c:pt idx="1">
                    <c:v>0.05</c:v>
                  </c:pt>
                  <c:pt idx="2">
                    <c:v>4.5000000000000012E-2</c:v>
                  </c:pt>
                  <c:pt idx="3">
                    <c:v>2.9000000000000001E-2</c:v>
                  </c:pt>
                  <c:pt idx="4">
                    <c:v>2.5999999999999999E-2</c:v>
                  </c:pt>
                </c:numCache>
              </c:numRef>
            </c:minus>
          </c:errBars>
          <c:cat>
            <c:strRef>
              <c:f>Sheet1!$A$13:$A$16</c:f>
              <c:strCache>
                <c:ptCount val="4"/>
                <c:pt idx="0">
                  <c:v>T0</c:v>
                </c:pt>
                <c:pt idx="1">
                  <c:v>T1</c:v>
                </c:pt>
                <c:pt idx="2">
                  <c:v>T2</c:v>
                </c:pt>
                <c:pt idx="3">
                  <c:v> T3</c:v>
                </c:pt>
              </c:strCache>
            </c:strRef>
          </c:cat>
          <c:val>
            <c:numRef>
              <c:f>Sheet1!$B$13:$B$16</c:f>
              <c:numCache>
                <c:formatCode>General</c:formatCode>
                <c:ptCount val="4"/>
                <c:pt idx="0">
                  <c:v>5.98</c:v>
                </c:pt>
                <c:pt idx="1">
                  <c:v>6.96</c:v>
                </c:pt>
                <c:pt idx="2">
                  <c:v>7.6099999999999985</c:v>
                </c:pt>
                <c:pt idx="3">
                  <c:v>8.2200000000000024</c:v>
                </c:pt>
              </c:numCache>
            </c:numRef>
          </c:val>
        </c:ser>
        <c:ser>
          <c:idx val="1"/>
          <c:order val="1"/>
          <c:tx>
            <c:strRef>
              <c:f>Sheet1!$C$12</c:f>
              <c:strCache>
                <c:ptCount val="1"/>
                <c:pt idx="0">
                  <c:v>2 (Lactoserum)</c:v>
                </c:pt>
              </c:strCache>
            </c:strRef>
          </c:tx>
          <c:spPr>
            <a:ln w="12700">
              <a:solidFill>
                <a:srgbClr val="FF9900"/>
              </a:solidFill>
            </a:ln>
          </c:spPr>
          <c:marker>
            <c:symbol val="square"/>
            <c:size val="4"/>
            <c:spPr>
              <a:solidFill>
                <a:srgbClr val="FF9900"/>
              </a:solidFill>
              <a:ln>
                <a:solidFill>
                  <a:srgbClr val="FF9900"/>
                </a:solidFill>
              </a:ln>
            </c:spPr>
          </c:marker>
          <c:errBars>
            <c:errDir val="y"/>
            <c:errBarType val="both"/>
            <c:errValType val="cust"/>
            <c:plus>
              <c:numRef>
                <c:f>Sheet1!$I$14:$M$14</c:f>
                <c:numCache>
                  <c:formatCode>General</c:formatCode>
                  <c:ptCount val="5"/>
                  <c:pt idx="0">
                    <c:v>3.9000000000000014E-2</c:v>
                  </c:pt>
                  <c:pt idx="1">
                    <c:v>6.0000000000000032E-2</c:v>
                  </c:pt>
                  <c:pt idx="2">
                    <c:v>3.2000000000000042E-2</c:v>
                  </c:pt>
                  <c:pt idx="3">
                    <c:v>3.5999999999999997E-2</c:v>
                  </c:pt>
                  <c:pt idx="4">
                    <c:v>4.0000000000000022E-2</c:v>
                  </c:pt>
                </c:numCache>
              </c:numRef>
            </c:plus>
            <c:minus>
              <c:numRef>
                <c:f>Sheet1!$I$14:$M$14</c:f>
                <c:numCache>
                  <c:formatCode>General</c:formatCode>
                  <c:ptCount val="5"/>
                  <c:pt idx="0">
                    <c:v>3.9000000000000014E-2</c:v>
                  </c:pt>
                  <c:pt idx="1">
                    <c:v>6.0000000000000032E-2</c:v>
                  </c:pt>
                  <c:pt idx="2">
                    <c:v>3.2000000000000042E-2</c:v>
                  </c:pt>
                  <c:pt idx="3">
                    <c:v>3.5999999999999997E-2</c:v>
                  </c:pt>
                  <c:pt idx="4">
                    <c:v>4.0000000000000022E-2</c:v>
                  </c:pt>
                </c:numCache>
              </c:numRef>
            </c:minus>
          </c:errBars>
          <c:cat>
            <c:strRef>
              <c:f>Sheet1!$A$13:$A$16</c:f>
              <c:strCache>
                <c:ptCount val="4"/>
                <c:pt idx="0">
                  <c:v>T0</c:v>
                </c:pt>
                <c:pt idx="1">
                  <c:v>T1</c:v>
                </c:pt>
                <c:pt idx="2">
                  <c:v>T2</c:v>
                </c:pt>
                <c:pt idx="3">
                  <c:v> T3</c:v>
                </c:pt>
              </c:strCache>
            </c:strRef>
          </c:cat>
          <c:val>
            <c:numRef>
              <c:f>Sheet1!$C$13:$C$16</c:f>
              <c:numCache>
                <c:formatCode>General</c:formatCode>
                <c:ptCount val="4"/>
                <c:pt idx="0">
                  <c:v>5.9700000000000024</c:v>
                </c:pt>
                <c:pt idx="1">
                  <c:v>7.57</c:v>
                </c:pt>
                <c:pt idx="2">
                  <c:v>8.39</c:v>
                </c:pt>
                <c:pt idx="3">
                  <c:v>9.8000000000000007</c:v>
                </c:pt>
              </c:numCache>
            </c:numRef>
          </c:val>
        </c:ser>
        <c:ser>
          <c:idx val="2"/>
          <c:order val="2"/>
          <c:tx>
            <c:strRef>
              <c:f>Sheet1!$D$12</c:f>
              <c:strCache>
                <c:ptCount val="1"/>
                <c:pt idx="0">
                  <c:v>3 (Promilk)</c:v>
                </c:pt>
              </c:strCache>
            </c:strRef>
          </c:tx>
          <c:spPr>
            <a:ln w="12700">
              <a:solidFill>
                <a:srgbClr val="92D050"/>
              </a:solidFill>
            </a:ln>
          </c:spPr>
          <c:marker>
            <c:spPr>
              <a:solidFill>
                <a:srgbClr val="92D050"/>
              </a:solidFill>
              <a:ln>
                <a:solidFill>
                  <a:srgbClr val="92D050"/>
                </a:solidFill>
              </a:ln>
            </c:spPr>
          </c:marker>
          <c:errBars>
            <c:errDir val="y"/>
            <c:errBarType val="both"/>
            <c:errValType val="cust"/>
            <c:plus>
              <c:numRef>
                <c:f>Sheet1!$I$15:$M$15</c:f>
                <c:numCache>
                  <c:formatCode>General</c:formatCode>
                  <c:ptCount val="5"/>
                  <c:pt idx="0">
                    <c:v>3.500000000000001E-2</c:v>
                  </c:pt>
                  <c:pt idx="1">
                    <c:v>2.1999999999999999E-2</c:v>
                  </c:pt>
                  <c:pt idx="2">
                    <c:v>1.9000000000000117E-2</c:v>
                  </c:pt>
                  <c:pt idx="3">
                    <c:v>4.5000000000000012E-2</c:v>
                  </c:pt>
                  <c:pt idx="4">
                    <c:v>4.9000000000000113E-2</c:v>
                  </c:pt>
                </c:numCache>
              </c:numRef>
            </c:plus>
            <c:minus>
              <c:numRef>
                <c:f>Sheet1!$I$15:$M$15</c:f>
                <c:numCache>
                  <c:formatCode>General</c:formatCode>
                  <c:ptCount val="5"/>
                  <c:pt idx="0">
                    <c:v>3.500000000000001E-2</c:v>
                  </c:pt>
                  <c:pt idx="1">
                    <c:v>2.1999999999999999E-2</c:v>
                  </c:pt>
                  <c:pt idx="2">
                    <c:v>1.9000000000000117E-2</c:v>
                  </c:pt>
                  <c:pt idx="3">
                    <c:v>4.5000000000000012E-2</c:v>
                  </c:pt>
                  <c:pt idx="4">
                    <c:v>4.9000000000000113E-2</c:v>
                  </c:pt>
                </c:numCache>
              </c:numRef>
            </c:minus>
          </c:errBars>
          <c:cat>
            <c:strRef>
              <c:f>Sheet1!$A$13:$A$16</c:f>
              <c:strCache>
                <c:ptCount val="4"/>
                <c:pt idx="0">
                  <c:v>T0</c:v>
                </c:pt>
                <c:pt idx="1">
                  <c:v>T1</c:v>
                </c:pt>
                <c:pt idx="2">
                  <c:v>T2</c:v>
                </c:pt>
                <c:pt idx="3">
                  <c:v> T3</c:v>
                </c:pt>
              </c:strCache>
            </c:strRef>
          </c:cat>
          <c:val>
            <c:numRef>
              <c:f>Sheet1!$D$13:$D$16</c:f>
              <c:numCache>
                <c:formatCode>General</c:formatCode>
                <c:ptCount val="4"/>
                <c:pt idx="0">
                  <c:v>5.9700000000000024</c:v>
                </c:pt>
                <c:pt idx="1">
                  <c:v>7.1</c:v>
                </c:pt>
                <c:pt idx="2">
                  <c:v>7.96</c:v>
                </c:pt>
                <c:pt idx="3">
                  <c:v>8.84</c:v>
                </c:pt>
              </c:numCache>
            </c:numRef>
          </c:val>
        </c:ser>
        <c:ser>
          <c:idx val="3"/>
          <c:order val="3"/>
          <c:tx>
            <c:strRef>
              <c:f>Sheet1!$E$12</c:f>
              <c:strCache>
                <c:ptCount val="1"/>
                <c:pt idx="0">
                  <c:v>4 (H. Caseine)</c:v>
                </c:pt>
              </c:strCache>
            </c:strRef>
          </c:tx>
          <c:spPr>
            <a:ln w="12700">
              <a:solidFill>
                <a:srgbClr val="990099"/>
              </a:solidFill>
            </a:ln>
          </c:spPr>
          <c:marker>
            <c:spPr>
              <a:solidFill>
                <a:srgbClr val="990099"/>
              </a:solidFill>
              <a:ln>
                <a:solidFill>
                  <a:srgbClr val="990099"/>
                </a:solidFill>
              </a:ln>
            </c:spPr>
          </c:marker>
          <c:errBars>
            <c:errDir val="y"/>
            <c:errBarType val="both"/>
            <c:errValType val="cust"/>
            <c:plus>
              <c:numRef>
                <c:f>Sheet1!$I$16:$M$16</c:f>
                <c:numCache>
                  <c:formatCode>General</c:formatCode>
                  <c:ptCount val="5"/>
                  <c:pt idx="0">
                    <c:v>3.3000000000000002E-2</c:v>
                  </c:pt>
                  <c:pt idx="1">
                    <c:v>2.4E-2</c:v>
                  </c:pt>
                  <c:pt idx="2">
                    <c:v>2.8000000000000001E-2</c:v>
                  </c:pt>
                  <c:pt idx="3">
                    <c:v>2.8000000000000001E-2</c:v>
                  </c:pt>
                  <c:pt idx="4">
                    <c:v>4.2000000000000023E-2</c:v>
                  </c:pt>
                </c:numCache>
              </c:numRef>
            </c:plus>
            <c:minus>
              <c:numRef>
                <c:f>Sheet1!$I$16:$M$16</c:f>
                <c:numCache>
                  <c:formatCode>General</c:formatCode>
                  <c:ptCount val="5"/>
                  <c:pt idx="0">
                    <c:v>3.3000000000000002E-2</c:v>
                  </c:pt>
                  <c:pt idx="1">
                    <c:v>2.4E-2</c:v>
                  </c:pt>
                  <c:pt idx="2">
                    <c:v>2.8000000000000001E-2</c:v>
                  </c:pt>
                  <c:pt idx="3">
                    <c:v>2.8000000000000001E-2</c:v>
                  </c:pt>
                  <c:pt idx="4">
                    <c:v>4.2000000000000023E-2</c:v>
                  </c:pt>
                </c:numCache>
              </c:numRef>
            </c:minus>
          </c:errBars>
          <c:cat>
            <c:strRef>
              <c:f>Sheet1!$A$13:$A$16</c:f>
              <c:strCache>
                <c:ptCount val="4"/>
                <c:pt idx="0">
                  <c:v>T0</c:v>
                </c:pt>
                <c:pt idx="1">
                  <c:v>T1</c:v>
                </c:pt>
                <c:pt idx="2">
                  <c:v>T2</c:v>
                </c:pt>
                <c:pt idx="3">
                  <c:v> T3</c:v>
                </c:pt>
              </c:strCache>
            </c:strRef>
          </c:cat>
          <c:val>
            <c:numRef>
              <c:f>Sheet1!$E$13:$E$16</c:f>
              <c:numCache>
                <c:formatCode>General</c:formatCode>
                <c:ptCount val="4"/>
                <c:pt idx="0">
                  <c:v>5.98</c:v>
                </c:pt>
                <c:pt idx="1">
                  <c:v>7.25</c:v>
                </c:pt>
                <c:pt idx="2">
                  <c:v>8.27</c:v>
                </c:pt>
                <c:pt idx="3">
                  <c:v>9.25</c:v>
                </c:pt>
              </c:numCache>
            </c:numRef>
          </c:val>
        </c:ser>
        <c:ser>
          <c:idx val="4"/>
          <c:order val="4"/>
          <c:tx>
            <c:strRef>
              <c:f>Sheet1!$F$12</c:f>
              <c:strCache>
                <c:ptCount val="1"/>
                <c:pt idx="0">
                  <c:v>5 (H. Proteine)</c:v>
                </c:pt>
              </c:strCache>
            </c:strRef>
          </c:tx>
          <c:spPr>
            <a:ln w="12700">
              <a:solidFill>
                <a:srgbClr val="FF33CC"/>
              </a:solidFill>
            </a:ln>
          </c:spPr>
          <c:marker>
            <c:symbol val="circle"/>
            <c:size val="4"/>
            <c:spPr>
              <a:solidFill>
                <a:srgbClr val="FF33CC"/>
              </a:solidFill>
              <a:ln>
                <a:solidFill>
                  <a:srgbClr val="FF33CC"/>
                </a:solidFill>
              </a:ln>
            </c:spPr>
          </c:marker>
          <c:errBars>
            <c:errDir val="y"/>
            <c:errBarType val="both"/>
            <c:errValType val="cust"/>
            <c:plus>
              <c:numRef>
                <c:f>Sheet2!$M$26:$M$29</c:f>
                <c:numCache>
                  <c:formatCode>General</c:formatCode>
                  <c:ptCount val="4"/>
                  <c:pt idx="0">
                    <c:v>2.5999999999999999E-2</c:v>
                  </c:pt>
                  <c:pt idx="1">
                    <c:v>4.0000000000000022E-2</c:v>
                  </c:pt>
                  <c:pt idx="2">
                    <c:v>4.9000000000000113E-2</c:v>
                  </c:pt>
                  <c:pt idx="3">
                    <c:v>4.2000000000000023E-2</c:v>
                  </c:pt>
                </c:numCache>
              </c:numRef>
            </c:plus>
            <c:minus>
              <c:numRef>
                <c:f>Sheet2!$M$26:$M$29</c:f>
                <c:numCache>
                  <c:formatCode>General</c:formatCode>
                  <c:ptCount val="4"/>
                  <c:pt idx="0">
                    <c:v>2.5999999999999999E-2</c:v>
                  </c:pt>
                  <c:pt idx="1">
                    <c:v>4.0000000000000022E-2</c:v>
                  </c:pt>
                  <c:pt idx="2">
                    <c:v>4.9000000000000113E-2</c:v>
                  </c:pt>
                  <c:pt idx="3">
                    <c:v>4.2000000000000023E-2</c:v>
                  </c:pt>
                </c:numCache>
              </c:numRef>
            </c:minus>
            <c:spPr>
              <a:ln w="3175">
                <a:solidFill>
                  <a:srgbClr val="000000"/>
                </a:solidFill>
                <a:prstDash val="solid"/>
              </a:ln>
            </c:spPr>
          </c:errBars>
          <c:cat>
            <c:strRef>
              <c:f>Sheet1!$A$13:$A$16</c:f>
              <c:strCache>
                <c:ptCount val="4"/>
                <c:pt idx="0">
                  <c:v>T0</c:v>
                </c:pt>
                <c:pt idx="1">
                  <c:v>T1</c:v>
                </c:pt>
                <c:pt idx="2">
                  <c:v>T2</c:v>
                </c:pt>
                <c:pt idx="3">
                  <c:v> T3</c:v>
                </c:pt>
              </c:strCache>
            </c:strRef>
          </c:cat>
          <c:val>
            <c:numRef>
              <c:f>Sheet1!$F$13:$F$16</c:f>
              <c:numCache>
                <c:formatCode>General</c:formatCode>
                <c:ptCount val="4"/>
                <c:pt idx="0">
                  <c:v>5.98</c:v>
                </c:pt>
                <c:pt idx="1">
                  <c:v>7.67</c:v>
                </c:pt>
                <c:pt idx="2">
                  <c:v>8.7000000000000011</c:v>
                </c:pt>
                <c:pt idx="3">
                  <c:v>9.6300000000000008</c:v>
                </c:pt>
              </c:numCache>
            </c:numRef>
          </c:val>
        </c:ser>
        <c:marker val="1"/>
        <c:axId val="60710272"/>
        <c:axId val="60724736"/>
      </c:lineChart>
      <c:catAx>
        <c:axId val="60710272"/>
        <c:scaling>
          <c:orientation val="minMax"/>
        </c:scaling>
        <c:axPos val="b"/>
        <c:title>
          <c:tx>
            <c:rich>
              <a:bodyPr/>
              <a:lstStyle/>
              <a:p>
                <a:pPr>
                  <a:defRPr>
                    <a:latin typeface="Times New Roman" pitchFamily="18" charset="0"/>
                    <a:cs typeface="Times New Roman" pitchFamily="18" charset="0"/>
                  </a:defRPr>
                </a:pPr>
                <a:r>
                  <a:rPr lang="en-US">
                    <a:latin typeface="Times New Roman" pitchFamily="18" charset="0"/>
                    <a:cs typeface="Times New Roman" pitchFamily="18" charset="0"/>
                  </a:rPr>
                  <a:t>Temps (h)</a:t>
                </a:r>
              </a:p>
            </c:rich>
          </c:tx>
          <c:layout>
            <c:manualLayout>
              <c:xMode val="edge"/>
              <c:yMode val="edge"/>
              <c:x val="0.39548344029251004"/>
              <c:y val="0.92200346498189711"/>
            </c:manualLayout>
          </c:layout>
        </c:title>
        <c:numFmt formatCode="General" sourceLinked="1"/>
        <c:tickLblPos val="nextTo"/>
        <c:spPr>
          <a:ln w="9525">
            <a:solidFill>
              <a:sysClr val="windowText" lastClr="000000"/>
            </a:solidFill>
          </a:ln>
        </c:spPr>
        <c:txPr>
          <a:bodyPr/>
          <a:lstStyle/>
          <a:p>
            <a:pPr>
              <a:defRPr b="1" i="0" baseline="0"/>
            </a:pPr>
            <a:endParaRPr lang="fr-FR"/>
          </a:p>
        </c:txPr>
        <c:crossAx val="60724736"/>
        <c:crosses val="autoZero"/>
        <c:auto val="1"/>
        <c:lblAlgn val="ctr"/>
        <c:lblOffset val="100"/>
      </c:catAx>
      <c:valAx>
        <c:axId val="60724736"/>
        <c:scaling>
          <c:orientation val="minMax"/>
          <c:max val="10"/>
          <c:min val="5.5"/>
        </c:scaling>
        <c:axPos val="l"/>
        <c:title>
          <c:tx>
            <c:rich>
              <a:bodyPr rot="-5400000" vert="horz"/>
              <a:lstStyle/>
              <a:p>
                <a:pPr>
                  <a:defRPr>
                    <a:latin typeface="Times New Roman" pitchFamily="18" charset="0"/>
                    <a:cs typeface="Times New Roman" pitchFamily="18" charset="0"/>
                  </a:defRPr>
                </a:pPr>
                <a:r>
                  <a:rPr lang="en-US">
                    <a:latin typeface="Times New Roman" pitchFamily="18" charset="0"/>
                    <a:cs typeface="Times New Roman" pitchFamily="18" charset="0"/>
                  </a:rPr>
                  <a:t>log UFC/ml</a:t>
                </a:r>
              </a:p>
            </c:rich>
          </c:tx>
          <c:layout/>
        </c:title>
        <c:numFmt formatCode="General" sourceLinked="1"/>
        <c:tickLblPos val="nextTo"/>
        <c:spPr>
          <a:ln w="9525">
            <a:solidFill>
              <a:schemeClr val="tx1"/>
            </a:solidFill>
          </a:ln>
        </c:spPr>
        <c:txPr>
          <a:bodyPr/>
          <a:lstStyle/>
          <a:p>
            <a:pPr>
              <a:defRPr b="1" i="0" baseline="0"/>
            </a:pPr>
            <a:endParaRPr lang="fr-FR"/>
          </a:p>
        </c:txPr>
        <c:crossAx val="60710272"/>
        <c:crosses val="autoZero"/>
        <c:crossBetween val="midCat"/>
        <c:majorUnit val="0.5"/>
      </c:valAx>
    </c:plotArea>
    <c:plotVisOnly val="1"/>
    <c:dispBlanksAs val="gap"/>
  </c:chart>
  <c:spPr>
    <a:ln>
      <a:solidFill>
        <a:schemeClr val="bg1"/>
      </a:solidFill>
    </a:ln>
  </c:spPr>
  <c:externalData r:id="rId1"/>
  <c:userShapes r:id="rId2"/>
</c:chartSpace>
</file>

<file path=word/charts/chart25.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a:pPr>
            <a:r>
              <a:rPr lang="fr-FR" sz="1800">
                <a:latin typeface="Times New Roman" pitchFamily="18" charset="0"/>
                <a:cs typeface="Times New Roman" pitchFamily="18" charset="0"/>
              </a:rPr>
              <a:t>A</a:t>
            </a:r>
          </a:p>
        </c:rich>
      </c:tx>
      <c:layout>
        <c:manualLayout>
          <c:xMode val="edge"/>
          <c:yMode val="edge"/>
          <c:x val="1.9627085377821396E-3"/>
          <c:y val="0"/>
        </c:manualLayout>
      </c:layout>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25401231238789268"/>
          <c:y val="0.11332611436473077"/>
          <c:w val="0.67487985234722569"/>
          <c:h val="0.68664490808524481"/>
        </c:manualLayout>
      </c:layout>
      <c:lineChart>
        <c:grouping val="standard"/>
        <c:ser>
          <c:idx val="0"/>
          <c:order val="0"/>
          <c:tx>
            <c:strRef>
              <c:f>Sheet1!$B$12</c:f>
              <c:strCache>
                <c:ptCount val="1"/>
                <c:pt idx="0">
                  <c:v>1 (Temoin)</c:v>
                </c:pt>
              </c:strCache>
            </c:strRef>
          </c:tx>
          <c:spPr>
            <a:ln w="12700"/>
          </c:spPr>
          <c:errBars>
            <c:errDir val="y"/>
            <c:errBarType val="both"/>
            <c:errValType val="cust"/>
            <c:plus>
              <c:numRef>
                <c:f>Sheet1!$I$13:$M$13</c:f>
                <c:numCache>
                  <c:formatCode>General</c:formatCode>
                  <c:ptCount val="5"/>
                  <c:pt idx="0">
                    <c:v>3.1000000000000052E-2</c:v>
                  </c:pt>
                  <c:pt idx="1">
                    <c:v>3.3000000000000002E-2</c:v>
                  </c:pt>
                  <c:pt idx="2">
                    <c:v>3.9000000000000014E-2</c:v>
                  </c:pt>
                  <c:pt idx="3">
                    <c:v>2.7000000000000173E-2</c:v>
                  </c:pt>
                  <c:pt idx="4">
                    <c:v>2.5999999999999999E-2</c:v>
                  </c:pt>
                </c:numCache>
              </c:numRef>
            </c:plus>
            <c:minus>
              <c:numRef>
                <c:f>Sheet1!$I$13:$M$13</c:f>
                <c:numCache>
                  <c:formatCode>General</c:formatCode>
                  <c:ptCount val="5"/>
                  <c:pt idx="0">
                    <c:v>3.1000000000000052E-2</c:v>
                  </c:pt>
                  <c:pt idx="1">
                    <c:v>3.3000000000000002E-2</c:v>
                  </c:pt>
                  <c:pt idx="2">
                    <c:v>3.9000000000000014E-2</c:v>
                  </c:pt>
                  <c:pt idx="3">
                    <c:v>2.7000000000000173E-2</c:v>
                  </c:pt>
                  <c:pt idx="4">
                    <c:v>2.5999999999999999E-2</c:v>
                  </c:pt>
                </c:numCache>
              </c:numRef>
            </c:minus>
          </c:errBars>
          <c:cat>
            <c:strRef>
              <c:f>Sheet1!$A$13:$A$16</c:f>
              <c:strCache>
                <c:ptCount val="4"/>
                <c:pt idx="0">
                  <c:v>T0</c:v>
                </c:pt>
                <c:pt idx="1">
                  <c:v>T1</c:v>
                </c:pt>
                <c:pt idx="2">
                  <c:v>T2</c:v>
                </c:pt>
                <c:pt idx="3">
                  <c:v> T3</c:v>
                </c:pt>
              </c:strCache>
            </c:strRef>
          </c:cat>
          <c:val>
            <c:numRef>
              <c:f>Sheet1!$B$13:$B$16</c:f>
              <c:numCache>
                <c:formatCode>General</c:formatCode>
                <c:ptCount val="4"/>
                <c:pt idx="0">
                  <c:v>5.9700000000000024</c:v>
                </c:pt>
                <c:pt idx="1">
                  <c:v>7.02</c:v>
                </c:pt>
                <c:pt idx="2">
                  <c:v>7.94</c:v>
                </c:pt>
                <c:pt idx="3">
                  <c:v>8.8000000000000007</c:v>
                </c:pt>
              </c:numCache>
            </c:numRef>
          </c:val>
        </c:ser>
        <c:ser>
          <c:idx val="1"/>
          <c:order val="1"/>
          <c:tx>
            <c:strRef>
              <c:f>Sheet1!$C$12</c:f>
              <c:strCache>
                <c:ptCount val="1"/>
                <c:pt idx="0">
                  <c:v>2 (Lactoserum)</c:v>
                </c:pt>
              </c:strCache>
            </c:strRef>
          </c:tx>
          <c:spPr>
            <a:ln w="12700">
              <a:solidFill>
                <a:srgbClr val="FF9900"/>
              </a:solidFill>
            </a:ln>
          </c:spPr>
          <c:marker>
            <c:spPr>
              <a:solidFill>
                <a:srgbClr val="FF9900"/>
              </a:solidFill>
              <a:ln>
                <a:solidFill>
                  <a:srgbClr val="FF9900"/>
                </a:solidFill>
              </a:ln>
            </c:spPr>
          </c:marker>
          <c:errBars>
            <c:errDir val="y"/>
            <c:errBarType val="both"/>
            <c:errValType val="cust"/>
            <c:plus>
              <c:numRef>
                <c:f>Sheet1!$I$14:$M$14</c:f>
                <c:numCache>
                  <c:formatCode>General</c:formatCode>
                  <c:ptCount val="5"/>
                  <c:pt idx="0">
                    <c:v>2.5000000000000001E-2</c:v>
                  </c:pt>
                  <c:pt idx="1">
                    <c:v>2.5999999999999999E-2</c:v>
                  </c:pt>
                  <c:pt idx="2">
                    <c:v>2.5999999999999999E-2</c:v>
                  </c:pt>
                  <c:pt idx="3">
                    <c:v>3.0000000000000002E-2</c:v>
                  </c:pt>
                  <c:pt idx="4">
                    <c:v>3.9000000000000014E-2</c:v>
                  </c:pt>
                </c:numCache>
              </c:numRef>
            </c:plus>
            <c:minus>
              <c:numRef>
                <c:f>Sheet1!$I$14:$M$14</c:f>
                <c:numCache>
                  <c:formatCode>General</c:formatCode>
                  <c:ptCount val="5"/>
                  <c:pt idx="0">
                    <c:v>2.5000000000000001E-2</c:v>
                  </c:pt>
                  <c:pt idx="1">
                    <c:v>2.5999999999999999E-2</c:v>
                  </c:pt>
                  <c:pt idx="2">
                    <c:v>2.5999999999999999E-2</c:v>
                  </c:pt>
                  <c:pt idx="3">
                    <c:v>3.0000000000000002E-2</c:v>
                  </c:pt>
                  <c:pt idx="4">
                    <c:v>3.9000000000000014E-2</c:v>
                  </c:pt>
                </c:numCache>
              </c:numRef>
            </c:minus>
          </c:errBars>
          <c:cat>
            <c:strRef>
              <c:f>Sheet1!$A$13:$A$16</c:f>
              <c:strCache>
                <c:ptCount val="4"/>
                <c:pt idx="0">
                  <c:v>T0</c:v>
                </c:pt>
                <c:pt idx="1">
                  <c:v>T1</c:v>
                </c:pt>
                <c:pt idx="2">
                  <c:v>T2</c:v>
                </c:pt>
                <c:pt idx="3">
                  <c:v> T3</c:v>
                </c:pt>
              </c:strCache>
            </c:strRef>
          </c:cat>
          <c:val>
            <c:numRef>
              <c:f>Sheet1!$C$13:$C$16</c:f>
              <c:numCache>
                <c:formatCode>General</c:formatCode>
                <c:ptCount val="4"/>
                <c:pt idx="0">
                  <c:v>5.9700000000000024</c:v>
                </c:pt>
                <c:pt idx="1">
                  <c:v>7.35</c:v>
                </c:pt>
                <c:pt idx="2">
                  <c:v>8.34</c:v>
                </c:pt>
                <c:pt idx="3">
                  <c:v>9.83</c:v>
                </c:pt>
              </c:numCache>
            </c:numRef>
          </c:val>
        </c:ser>
        <c:ser>
          <c:idx val="2"/>
          <c:order val="2"/>
          <c:tx>
            <c:strRef>
              <c:f>Sheet1!$D$12</c:f>
              <c:strCache>
                <c:ptCount val="1"/>
                <c:pt idx="0">
                  <c:v>3 (Promilk)</c:v>
                </c:pt>
              </c:strCache>
            </c:strRef>
          </c:tx>
          <c:spPr>
            <a:ln w="12700">
              <a:solidFill>
                <a:srgbClr val="92D050"/>
              </a:solidFill>
            </a:ln>
          </c:spPr>
          <c:marker>
            <c:spPr>
              <a:solidFill>
                <a:srgbClr val="92D050"/>
              </a:solidFill>
              <a:ln>
                <a:solidFill>
                  <a:srgbClr val="92D050"/>
                </a:solidFill>
              </a:ln>
            </c:spPr>
          </c:marker>
          <c:errBars>
            <c:errDir val="y"/>
            <c:errBarType val="both"/>
            <c:errValType val="cust"/>
            <c:plus>
              <c:numRef>
                <c:f>Sheet1!$I$15:$M$15</c:f>
                <c:numCache>
                  <c:formatCode>General</c:formatCode>
                  <c:ptCount val="5"/>
                  <c:pt idx="0">
                    <c:v>2.5999999999999999E-2</c:v>
                  </c:pt>
                  <c:pt idx="1">
                    <c:v>1.9000000000000117E-2</c:v>
                  </c:pt>
                  <c:pt idx="2">
                    <c:v>2.5999999999999999E-2</c:v>
                  </c:pt>
                  <c:pt idx="3">
                    <c:v>2.5999999999999999E-2</c:v>
                  </c:pt>
                  <c:pt idx="4">
                    <c:v>2.5000000000000001E-2</c:v>
                  </c:pt>
                </c:numCache>
              </c:numRef>
            </c:plus>
            <c:minus>
              <c:numRef>
                <c:f>Sheet1!$I$15:$M$15</c:f>
                <c:numCache>
                  <c:formatCode>General</c:formatCode>
                  <c:ptCount val="5"/>
                  <c:pt idx="0">
                    <c:v>2.5999999999999999E-2</c:v>
                  </c:pt>
                  <c:pt idx="1">
                    <c:v>1.9000000000000117E-2</c:v>
                  </c:pt>
                  <c:pt idx="2">
                    <c:v>2.5999999999999999E-2</c:v>
                  </c:pt>
                  <c:pt idx="3">
                    <c:v>2.5999999999999999E-2</c:v>
                  </c:pt>
                  <c:pt idx="4">
                    <c:v>2.5000000000000001E-2</c:v>
                  </c:pt>
                </c:numCache>
              </c:numRef>
            </c:minus>
          </c:errBars>
          <c:cat>
            <c:strRef>
              <c:f>Sheet1!$A$13:$A$16</c:f>
              <c:strCache>
                <c:ptCount val="4"/>
                <c:pt idx="0">
                  <c:v>T0</c:v>
                </c:pt>
                <c:pt idx="1">
                  <c:v>T1</c:v>
                </c:pt>
                <c:pt idx="2">
                  <c:v>T2</c:v>
                </c:pt>
                <c:pt idx="3">
                  <c:v> T3</c:v>
                </c:pt>
              </c:strCache>
            </c:strRef>
          </c:cat>
          <c:val>
            <c:numRef>
              <c:f>Sheet1!$D$13:$D$16</c:f>
              <c:numCache>
                <c:formatCode>General</c:formatCode>
                <c:ptCount val="4"/>
                <c:pt idx="0">
                  <c:v>5.96</c:v>
                </c:pt>
                <c:pt idx="1">
                  <c:v>7.06</c:v>
                </c:pt>
                <c:pt idx="2">
                  <c:v>8.0400000000000009</c:v>
                </c:pt>
                <c:pt idx="3">
                  <c:v>9.2100000000000009</c:v>
                </c:pt>
              </c:numCache>
            </c:numRef>
          </c:val>
        </c:ser>
        <c:ser>
          <c:idx val="3"/>
          <c:order val="3"/>
          <c:tx>
            <c:strRef>
              <c:f>Sheet1!$E$12</c:f>
              <c:strCache>
                <c:ptCount val="1"/>
                <c:pt idx="0">
                  <c:v>4 (H. Caseine)</c:v>
                </c:pt>
              </c:strCache>
            </c:strRef>
          </c:tx>
          <c:spPr>
            <a:ln w="12700">
              <a:solidFill>
                <a:srgbClr val="990099"/>
              </a:solidFill>
            </a:ln>
          </c:spPr>
          <c:marker>
            <c:spPr>
              <a:solidFill>
                <a:srgbClr val="990099"/>
              </a:solidFill>
              <a:ln>
                <a:solidFill>
                  <a:srgbClr val="990099"/>
                </a:solidFill>
              </a:ln>
            </c:spPr>
          </c:marker>
          <c:errBars>
            <c:errDir val="y"/>
            <c:errBarType val="both"/>
            <c:errValType val="cust"/>
            <c:plus>
              <c:numRef>
                <c:f>Sheet1!$I$16:$M$16</c:f>
                <c:numCache>
                  <c:formatCode>General</c:formatCode>
                  <c:ptCount val="5"/>
                  <c:pt idx="0">
                    <c:v>2.1999999999999999E-2</c:v>
                  </c:pt>
                  <c:pt idx="1">
                    <c:v>3.3000000000000002E-2</c:v>
                  </c:pt>
                  <c:pt idx="2">
                    <c:v>2.9000000000000001E-2</c:v>
                  </c:pt>
                  <c:pt idx="3">
                    <c:v>2.5999999999999999E-2</c:v>
                  </c:pt>
                  <c:pt idx="4">
                    <c:v>4.0000000000000022E-2</c:v>
                  </c:pt>
                </c:numCache>
              </c:numRef>
            </c:plus>
            <c:minus>
              <c:numRef>
                <c:f>Sheet1!$I$16:$M$16</c:f>
                <c:numCache>
                  <c:formatCode>General</c:formatCode>
                  <c:ptCount val="5"/>
                  <c:pt idx="0">
                    <c:v>2.1999999999999999E-2</c:v>
                  </c:pt>
                  <c:pt idx="1">
                    <c:v>3.3000000000000002E-2</c:v>
                  </c:pt>
                  <c:pt idx="2">
                    <c:v>2.9000000000000001E-2</c:v>
                  </c:pt>
                  <c:pt idx="3">
                    <c:v>2.5999999999999999E-2</c:v>
                  </c:pt>
                  <c:pt idx="4">
                    <c:v>4.0000000000000022E-2</c:v>
                  </c:pt>
                </c:numCache>
              </c:numRef>
            </c:minus>
          </c:errBars>
          <c:cat>
            <c:strRef>
              <c:f>Sheet1!$A$13:$A$16</c:f>
              <c:strCache>
                <c:ptCount val="4"/>
                <c:pt idx="0">
                  <c:v>T0</c:v>
                </c:pt>
                <c:pt idx="1">
                  <c:v>T1</c:v>
                </c:pt>
                <c:pt idx="2">
                  <c:v>T2</c:v>
                </c:pt>
                <c:pt idx="3">
                  <c:v> T3</c:v>
                </c:pt>
              </c:strCache>
            </c:strRef>
          </c:cat>
          <c:val>
            <c:numRef>
              <c:f>Sheet1!$E$13:$E$16</c:f>
              <c:numCache>
                <c:formatCode>General</c:formatCode>
                <c:ptCount val="4"/>
                <c:pt idx="0">
                  <c:v>5.98</c:v>
                </c:pt>
                <c:pt idx="1">
                  <c:v>7.1899999999999995</c:v>
                </c:pt>
                <c:pt idx="2">
                  <c:v>8.18</c:v>
                </c:pt>
                <c:pt idx="3">
                  <c:v>9.5300000000000011</c:v>
                </c:pt>
              </c:numCache>
            </c:numRef>
          </c:val>
        </c:ser>
        <c:ser>
          <c:idx val="4"/>
          <c:order val="4"/>
          <c:tx>
            <c:strRef>
              <c:f>Sheet1!$F$12</c:f>
              <c:strCache>
                <c:ptCount val="1"/>
                <c:pt idx="0">
                  <c:v>5 (H. Proteine)</c:v>
                </c:pt>
              </c:strCache>
            </c:strRef>
          </c:tx>
          <c:spPr>
            <a:ln w="12700">
              <a:solidFill>
                <a:srgbClr val="FF33CC"/>
              </a:solidFill>
            </a:ln>
          </c:spPr>
          <c:marker>
            <c:symbol val="circle"/>
            <c:size val="4"/>
            <c:spPr>
              <a:solidFill>
                <a:srgbClr val="FF33CC"/>
              </a:solidFill>
              <a:ln>
                <a:solidFill>
                  <a:srgbClr val="FF33CC"/>
                </a:solidFill>
              </a:ln>
            </c:spPr>
          </c:marker>
          <c:cat>
            <c:strRef>
              <c:f>Sheet1!$A$13:$A$16</c:f>
              <c:strCache>
                <c:ptCount val="4"/>
                <c:pt idx="0">
                  <c:v>T0</c:v>
                </c:pt>
                <c:pt idx="1">
                  <c:v>T1</c:v>
                </c:pt>
                <c:pt idx="2">
                  <c:v>T2</c:v>
                </c:pt>
                <c:pt idx="3">
                  <c:v> T3</c:v>
                </c:pt>
              </c:strCache>
            </c:strRef>
          </c:cat>
          <c:val>
            <c:numRef>
              <c:f>Sheet1!$F$13:$F$16</c:f>
              <c:numCache>
                <c:formatCode>General</c:formatCode>
                <c:ptCount val="4"/>
                <c:pt idx="0">
                  <c:v>5.99</c:v>
                </c:pt>
                <c:pt idx="1">
                  <c:v>7.22</c:v>
                </c:pt>
                <c:pt idx="2">
                  <c:v>8.2200000000000024</c:v>
                </c:pt>
                <c:pt idx="3">
                  <c:v>9.7000000000000011</c:v>
                </c:pt>
              </c:numCache>
            </c:numRef>
          </c:val>
        </c:ser>
        <c:marker val="1"/>
        <c:axId val="60806656"/>
        <c:axId val="60817408"/>
      </c:lineChart>
      <c:catAx>
        <c:axId val="60806656"/>
        <c:scaling>
          <c:orientation val="minMax"/>
        </c:scaling>
        <c:axPos val="b"/>
        <c:title>
          <c:tx>
            <c:rich>
              <a:bodyPr/>
              <a:lstStyle/>
              <a:p>
                <a:pPr>
                  <a:defRPr sz="1000" b="1" i="0" u="none" strike="noStrike" baseline="0">
                    <a:solidFill>
                      <a:srgbClr val="000000"/>
                    </a:solidFill>
                    <a:latin typeface="Times New Roman"/>
                    <a:ea typeface="Times New Roman"/>
                    <a:cs typeface="Times New Roman"/>
                  </a:defRPr>
                </a:pPr>
                <a:r>
                  <a:rPr lang="fr-FR"/>
                  <a:t>Temps(h)</a:t>
                </a:r>
              </a:p>
            </c:rich>
          </c:tx>
          <c:layout>
            <c:manualLayout>
              <c:xMode val="edge"/>
              <c:yMode val="edge"/>
              <c:x val="0.46451218137610312"/>
              <c:y val="0.92041297572177905"/>
            </c:manualLayout>
          </c:layout>
        </c:title>
        <c:numFmt formatCode="General" sourceLinked="1"/>
        <c:tickLblPos val="nextTo"/>
        <c:spPr>
          <a:ln w="9525">
            <a:solidFill>
              <a:schemeClr val="tx1"/>
            </a:solidFill>
          </a:ln>
        </c:spPr>
        <c:txPr>
          <a:bodyPr rot="0" vert="horz"/>
          <a:lstStyle/>
          <a:p>
            <a:pPr>
              <a:defRPr sz="1000" b="1" i="0" u="none" strike="noStrike" baseline="0">
                <a:solidFill>
                  <a:srgbClr val="000000"/>
                </a:solidFill>
                <a:latin typeface="Calibri"/>
                <a:ea typeface="Calibri"/>
                <a:cs typeface="Calibri"/>
              </a:defRPr>
            </a:pPr>
            <a:endParaRPr lang="fr-FR"/>
          </a:p>
        </c:txPr>
        <c:crossAx val="60817408"/>
        <c:crosses val="autoZero"/>
        <c:auto val="1"/>
        <c:lblAlgn val="ctr"/>
        <c:lblOffset val="100"/>
      </c:catAx>
      <c:valAx>
        <c:axId val="60817408"/>
        <c:scaling>
          <c:orientation val="minMax"/>
          <c:max val="11"/>
          <c:min val="5"/>
        </c:scaling>
        <c:axPos val="l"/>
        <c:title>
          <c:tx>
            <c:rich>
              <a:bodyPr/>
              <a:lstStyle/>
              <a:p>
                <a:pPr>
                  <a:defRPr sz="1000" b="1" i="0" u="none" strike="noStrike" baseline="0">
                    <a:solidFill>
                      <a:srgbClr val="000000"/>
                    </a:solidFill>
                    <a:latin typeface="Times New Roman"/>
                    <a:ea typeface="Times New Roman"/>
                    <a:cs typeface="Times New Roman"/>
                  </a:defRPr>
                </a:pPr>
                <a:r>
                  <a:rPr lang="fr-FR"/>
                  <a:t>log UFC/ml</a:t>
                </a:r>
              </a:p>
            </c:rich>
          </c:tx>
          <c:layout/>
        </c:title>
        <c:numFmt formatCode="General" sourceLinked="1"/>
        <c:tickLblPos val="nextTo"/>
        <c:spPr>
          <a:ln w="9525">
            <a:solidFill>
              <a:schemeClr val="tx1"/>
            </a:solidFill>
          </a:ln>
        </c:spPr>
        <c:txPr>
          <a:bodyPr rot="0" vert="horz"/>
          <a:lstStyle/>
          <a:p>
            <a:pPr>
              <a:defRPr sz="1000" b="1" i="0" u="none" strike="noStrike" baseline="0">
                <a:solidFill>
                  <a:srgbClr val="000000"/>
                </a:solidFill>
                <a:latin typeface="Calibri"/>
                <a:ea typeface="Calibri"/>
                <a:cs typeface="Calibri"/>
              </a:defRPr>
            </a:pPr>
            <a:endParaRPr lang="fr-FR"/>
          </a:p>
        </c:txPr>
        <c:crossAx val="60806656"/>
        <c:crosses val="autoZero"/>
        <c:crossBetween val="midCat"/>
        <c:majorUnit val="0.5"/>
      </c:valAx>
    </c:plotArea>
    <c:plotVisOnly val="1"/>
    <c:dispBlanksAs val="gap"/>
  </c:chart>
  <c:spPr>
    <a:ln>
      <a:solidFill>
        <a:schemeClr val="bg1"/>
      </a:solidFill>
    </a:ln>
  </c:spPr>
  <c:txPr>
    <a:bodyPr/>
    <a:lstStyle/>
    <a:p>
      <a:pPr>
        <a:defRPr sz="1000" b="0" i="0" u="none" strike="noStrike" baseline="0">
          <a:solidFill>
            <a:srgbClr val="000000"/>
          </a:solidFill>
          <a:latin typeface="Calibri"/>
          <a:ea typeface="Calibri"/>
          <a:cs typeface="Calibri"/>
        </a:defRPr>
      </a:pPr>
      <a:endParaRPr lang="fr-FR"/>
    </a:p>
  </c:txPr>
  <c:externalData r:id="rId1"/>
  <c:userShapes r:id="rId2"/>
</c:chartSpace>
</file>

<file path=word/charts/chart26.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a:pPr>
            <a:r>
              <a:rPr lang="fr-FR" sz="1800">
                <a:latin typeface="Times New Roman" pitchFamily="18" charset="0"/>
                <a:cs typeface="Times New Roman" pitchFamily="18" charset="0"/>
              </a:rPr>
              <a:t>D</a:t>
            </a:r>
          </a:p>
        </c:rich>
      </c:tx>
      <c:layout>
        <c:manualLayout>
          <c:xMode val="edge"/>
          <c:yMode val="edge"/>
          <c:x val="2.6960784313725478E-2"/>
          <c:y val="0"/>
        </c:manualLayout>
      </c:layout>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23696933232183406"/>
          <c:y val="0.12998400207648581"/>
          <c:w val="0.66083304804290766"/>
          <c:h val="0.6641943510608308"/>
        </c:manualLayout>
      </c:layout>
      <c:lineChart>
        <c:grouping val="standard"/>
        <c:ser>
          <c:idx val="0"/>
          <c:order val="0"/>
          <c:tx>
            <c:strRef>
              <c:f>Sheet1!$B$20</c:f>
              <c:strCache>
                <c:ptCount val="1"/>
                <c:pt idx="0">
                  <c:v>1 (Temoin)</c:v>
                </c:pt>
              </c:strCache>
            </c:strRef>
          </c:tx>
          <c:spPr>
            <a:ln w="12700"/>
          </c:spPr>
          <c:errBars>
            <c:errDir val="y"/>
            <c:errBarType val="both"/>
            <c:errValType val="cust"/>
            <c:plus>
              <c:numRef>
                <c:f>Sheet1!$I$21:$M$21</c:f>
                <c:numCache>
                  <c:formatCode>General</c:formatCode>
                  <c:ptCount val="5"/>
                  <c:pt idx="0">
                    <c:v>3.1000000000000052E-2</c:v>
                  </c:pt>
                  <c:pt idx="1">
                    <c:v>3.7999999999999999E-2</c:v>
                  </c:pt>
                  <c:pt idx="2">
                    <c:v>2.5999999999999999E-2</c:v>
                  </c:pt>
                  <c:pt idx="3">
                    <c:v>4.1000000000000002E-2</c:v>
                  </c:pt>
                  <c:pt idx="4">
                    <c:v>4.2000000000000023E-2</c:v>
                  </c:pt>
                </c:numCache>
              </c:numRef>
            </c:plus>
            <c:minus>
              <c:numRef>
                <c:f>Sheet1!$I$21:$M$21</c:f>
                <c:numCache>
                  <c:formatCode>General</c:formatCode>
                  <c:ptCount val="5"/>
                  <c:pt idx="0">
                    <c:v>3.1000000000000052E-2</c:v>
                  </c:pt>
                  <c:pt idx="1">
                    <c:v>3.7999999999999999E-2</c:v>
                  </c:pt>
                  <c:pt idx="2">
                    <c:v>2.5999999999999999E-2</c:v>
                  </c:pt>
                  <c:pt idx="3">
                    <c:v>4.1000000000000002E-2</c:v>
                  </c:pt>
                  <c:pt idx="4">
                    <c:v>4.2000000000000023E-2</c:v>
                  </c:pt>
                </c:numCache>
              </c:numRef>
            </c:minus>
          </c:errBars>
          <c:cat>
            <c:strRef>
              <c:f>Sheet1!$A$21:$A$24</c:f>
              <c:strCache>
                <c:ptCount val="4"/>
                <c:pt idx="0">
                  <c:v>T0</c:v>
                </c:pt>
                <c:pt idx="1">
                  <c:v>T1</c:v>
                </c:pt>
                <c:pt idx="2">
                  <c:v>T2</c:v>
                </c:pt>
                <c:pt idx="3">
                  <c:v> T3</c:v>
                </c:pt>
              </c:strCache>
            </c:strRef>
          </c:cat>
          <c:val>
            <c:numRef>
              <c:f>Sheet1!$B$21:$B$24</c:f>
              <c:numCache>
                <c:formatCode>General</c:formatCode>
                <c:ptCount val="4"/>
                <c:pt idx="0">
                  <c:v>5.94</c:v>
                </c:pt>
                <c:pt idx="1">
                  <c:v>6.96</c:v>
                </c:pt>
                <c:pt idx="2">
                  <c:v>7.63</c:v>
                </c:pt>
                <c:pt idx="3">
                  <c:v>8.07</c:v>
                </c:pt>
              </c:numCache>
            </c:numRef>
          </c:val>
        </c:ser>
        <c:ser>
          <c:idx val="1"/>
          <c:order val="1"/>
          <c:tx>
            <c:strRef>
              <c:f>Sheet1!$C$20</c:f>
              <c:strCache>
                <c:ptCount val="1"/>
                <c:pt idx="0">
                  <c:v>2 (Lactoserum)</c:v>
                </c:pt>
              </c:strCache>
            </c:strRef>
          </c:tx>
          <c:spPr>
            <a:ln w="12700">
              <a:solidFill>
                <a:srgbClr val="FF9900"/>
              </a:solidFill>
            </a:ln>
          </c:spPr>
          <c:marker>
            <c:spPr>
              <a:solidFill>
                <a:srgbClr val="FF9900"/>
              </a:solidFill>
              <a:ln>
                <a:solidFill>
                  <a:srgbClr val="FF9900"/>
                </a:solidFill>
              </a:ln>
            </c:spPr>
          </c:marker>
          <c:errBars>
            <c:errDir val="y"/>
            <c:errBarType val="both"/>
            <c:errValType val="cust"/>
            <c:plus>
              <c:numRef>
                <c:f>Sheet1!$I$22:$M$22</c:f>
                <c:numCache>
                  <c:formatCode>General</c:formatCode>
                  <c:ptCount val="5"/>
                  <c:pt idx="0">
                    <c:v>2.7000000000000173E-2</c:v>
                  </c:pt>
                  <c:pt idx="1">
                    <c:v>1.9000000000000117E-2</c:v>
                  </c:pt>
                  <c:pt idx="2">
                    <c:v>2.3E-2</c:v>
                  </c:pt>
                  <c:pt idx="3">
                    <c:v>3.2000000000000042E-2</c:v>
                  </c:pt>
                  <c:pt idx="4">
                    <c:v>1.9000000000000117E-2</c:v>
                  </c:pt>
                </c:numCache>
              </c:numRef>
            </c:plus>
            <c:minus>
              <c:numRef>
                <c:f>Sheet1!$I$22:$M$22</c:f>
                <c:numCache>
                  <c:formatCode>General</c:formatCode>
                  <c:ptCount val="5"/>
                  <c:pt idx="0">
                    <c:v>2.7000000000000173E-2</c:v>
                  </c:pt>
                  <c:pt idx="1">
                    <c:v>1.9000000000000117E-2</c:v>
                  </c:pt>
                  <c:pt idx="2">
                    <c:v>2.3E-2</c:v>
                  </c:pt>
                  <c:pt idx="3">
                    <c:v>3.2000000000000042E-2</c:v>
                  </c:pt>
                  <c:pt idx="4">
                    <c:v>1.9000000000000117E-2</c:v>
                  </c:pt>
                </c:numCache>
              </c:numRef>
            </c:minus>
          </c:errBars>
          <c:cat>
            <c:strRef>
              <c:f>Sheet1!$A$21:$A$24</c:f>
              <c:strCache>
                <c:ptCount val="4"/>
                <c:pt idx="0">
                  <c:v>T0</c:v>
                </c:pt>
                <c:pt idx="1">
                  <c:v>T1</c:v>
                </c:pt>
                <c:pt idx="2">
                  <c:v>T2</c:v>
                </c:pt>
                <c:pt idx="3">
                  <c:v> T3</c:v>
                </c:pt>
              </c:strCache>
            </c:strRef>
          </c:cat>
          <c:val>
            <c:numRef>
              <c:f>Sheet1!$C$21:$C$24</c:f>
              <c:numCache>
                <c:formatCode>General</c:formatCode>
                <c:ptCount val="4"/>
                <c:pt idx="0">
                  <c:v>5.95</c:v>
                </c:pt>
                <c:pt idx="1">
                  <c:v>7.34</c:v>
                </c:pt>
                <c:pt idx="2">
                  <c:v>8.0400000000000009</c:v>
                </c:pt>
                <c:pt idx="3">
                  <c:v>8.91</c:v>
                </c:pt>
              </c:numCache>
            </c:numRef>
          </c:val>
        </c:ser>
        <c:ser>
          <c:idx val="2"/>
          <c:order val="2"/>
          <c:tx>
            <c:strRef>
              <c:f>Sheet1!$D$20</c:f>
              <c:strCache>
                <c:ptCount val="1"/>
                <c:pt idx="0">
                  <c:v>3 (Promilk)</c:v>
                </c:pt>
              </c:strCache>
            </c:strRef>
          </c:tx>
          <c:spPr>
            <a:ln w="12700">
              <a:solidFill>
                <a:srgbClr val="92D050"/>
              </a:solidFill>
            </a:ln>
          </c:spPr>
          <c:marker>
            <c:spPr>
              <a:solidFill>
                <a:srgbClr val="92D050"/>
              </a:solidFill>
              <a:ln>
                <a:solidFill>
                  <a:srgbClr val="92D050"/>
                </a:solidFill>
              </a:ln>
            </c:spPr>
          </c:marker>
          <c:errBars>
            <c:errDir val="y"/>
            <c:errBarType val="both"/>
            <c:errValType val="cust"/>
            <c:plus>
              <c:numRef>
                <c:f>Sheet1!$I$23:$M$23</c:f>
                <c:numCache>
                  <c:formatCode>General</c:formatCode>
                  <c:ptCount val="5"/>
                  <c:pt idx="0">
                    <c:v>3.4000000000000002E-2</c:v>
                  </c:pt>
                  <c:pt idx="1">
                    <c:v>2.1000000000000012E-2</c:v>
                  </c:pt>
                  <c:pt idx="2">
                    <c:v>3.6999999999999998E-2</c:v>
                  </c:pt>
                  <c:pt idx="3">
                    <c:v>3.4000000000000002E-2</c:v>
                  </c:pt>
                  <c:pt idx="4">
                    <c:v>2.1999999999999999E-2</c:v>
                  </c:pt>
                </c:numCache>
              </c:numRef>
            </c:plus>
            <c:minus>
              <c:numRef>
                <c:f>Sheet1!$I$23:$M$23</c:f>
                <c:numCache>
                  <c:formatCode>General</c:formatCode>
                  <c:ptCount val="5"/>
                  <c:pt idx="0">
                    <c:v>3.4000000000000002E-2</c:v>
                  </c:pt>
                  <c:pt idx="1">
                    <c:v>2.1000000000000012E-2</c:v>
                  </c:pt>
                  <c:pt idx="2">
                    <c:v>3.6999999999999998E-2</c:v>
                  </c:pt>
                  <c:pt idx="3">
                    <c:v>3.4000000000000002E-2</c:v>
                  </c:pt>
                  <c:pt idx="4">
                    <c:v>2.1999999999999999E-2</c:v>
                  </c:pt>
                </c:numCache>
              </c:numRef>
            </c:minus>
          </c:errBars>
          <c:cat>
            <c:strRef>
              <c:f>Sheet1!$A$21:$A$24</c:f>
              <c:strCache>
                <c:ptCount val="4"/>
                <c:pt idx="0">
                  <c:v>T0</c:v>
                </c:pt>
                <c:pt idx="1">
                  <c:v>T1</c:v>
                </c:pt>
                <c:pt idx="2">
                  <c:v>T2</c:v>
                </c:pt>
                <c:pt idx="3">
                  <c:v> T3</c:v>
                </c:pt>
              </c:strCache>
            </c:strRef>
          </c:cat>
          <c:val>
            <c:numRef>
              <c:f>Sheet1!$D$21:$D$24</c:f>
              <c:numCache>
                <c:formatCode>General</c:formatCode>
                <c:ptCount val="4"/>
                <c:pt idx="0">
                  <c:v>5.95</c:v>
                </c:pt>
                <c:pt idx="1">
                  <c:v>7.03</c:v>
                </c:pt>
                <c:pt idx="2">
                  <c:v>7.84</c:v>
                </c:pt>
                <c:pt idx="3">
                  <c:v>8.4600000000000026</c:v>
                </c:pt>
              </c:numCache>
            </c:numRef>
          </c:val>
        </c:ser>
        <c:ser>
          <c:idx val="3"/>
          <c:order val="3"/>
          <c:tx>
            <c:strRef>
              <c:f>Sheet1!$E$20</c:f>
              <c:strCache>
                <c:ptCount val="1"/>
                <c:pt idx="0">
                  <c:v>4 (H. Caseine)</c:v>
                </c:pt>
              </c:strCache>
            </c:strRef>
          </c:tx>
          <c:spPr>
            <a:ln w="12700">
              <a:solidFill>
                <a:srgbClr val="990099"/>
              </a:solidFill>
            </a:ln>
          </c:spPr>
          <c:marker>
            <c:spPr>
              <a:solidFill>
                <a:srgbClr val="990099"/>
              </a:solidFill>
              <a:ln>
                <a:solidFill>
                  <a:srgbClr val="990099"/>
                </a:solidFill>
              </a:ln>
            </c:spPr>
          </c:marker>
          <c:errBars>
            <c:errDir val="y"/>
            <c:errBarType val="both"/>
            <c:errValType val="cust"/>
            <c:plus>
              <c:numRef>
                <c:f>Sheet1!$I$24:$M$24</c:f>
                <c:numCache>
                  <c:formatCode>General</c:formatCode>
                  <c:ptCount val="5"/>
                  <c:pt idx="0">
                    <c:v>2.7000000000000173E-2</c:v>
                  </c:pt>
                  <c:pt idx="1">
                    <c:v>2.5999999999999999E-2</c:v>
                  </c:pt>
                  <c:pt idx="2">
                    <c:v>2.3E-2</c:v>
                  </c:pt>
                  <c:pt idx="3">
                    <c:v>3.6999999999999998E-2</c:v>
                  </c:pt>
                  <c:pt idx="4">
                    <c:v>0.05</c:v>
                  </c:pt>
                </c:numCache>
              </c:numRef>
            </c:plus>
            <c:minus>
              <c:numRef>
                <c:f>Sheet1!$I$24:$M$24</c:f>
                <c:numCache>
                  <c:formatCode>General</c:formatCode>
                  <c:ptCount val="5"/>
                  <c:pt idx="0">
                    <c:v>2.7000000000000173E-2</c:v>
                  </c:pt>
                  <c:pt idx="1">
                    <c:v>2.5999999999999999E-2</c:v>
                  </c:pt>
                  <c:pt idx="2">
                    <c:v>2.3E-2</c:v>
                  </c:pt>
                  <c:pt idx="3">
                    <c:v>3.6999999999999998E-2</c:v>
                  </c:pt>
                  <c:pt idx="4">
                    <c:v>0.05</c:v>
                  </c:pt>
                </c:numCache>
              </c:numRef>
            </c:minus>
          </c:errBars>
          <c:cat>
            <c:strRef>
              <c:f>Sheet1!$A$21:$A$24</c:f>
              <c:strCache>
                <c:ptCount val="4"/>
                <c:pt idx="0">
                  <c:v>T0</c:v>
                </c:pt>
                <c:pt idx="1">
                  <c:v>T1</c:v>
                </c:pt>
                <c:pt idx="2">
                  <c:v>T2</c:v>
                </c:pt>
                <c:pt idx="3">
                  <c:v> T3</c:v>
                </c:pt>
              </c:strCache>
            </c:strRef>
          </c:cat>
          <c:val>
            <c:numRef>
              <c:f>Sheet1!$E$21:$E$24</c:f>
              <c:numCache>
                <c:formatCode>General</c:formatCode>
                <c:ptCount val="4"/>
                <c:pt idx="0">
                  <c:v>5.9300000000000024</c:v>
                </c:pt>
                <c:pt idx="1">
                  <c:v>7.07</c:v>
                </c:pt>
                <c:pt idx="2">
                  <c:v>7.85</c:v>
                </c:pt>
                <c:pt idx="3">
                  <c:v>8.59</c:v>
                </c:pt>
              </c:numCache>
            </c:numRef>
          </c:val>
        </c:ser>
        <c:ser>
          <c:idx val="4"/>
          <c:order val="4"/>
          <c:tx>
            <c:strRef>
              <c:f>Sheet1!$F$20</c:f>
              <c:strCache>
                <c:ptCount val="1"/>
                <c:pt idx="0">
                  <c:v>5 (H. Proteine)</c:v>
                </c:pt>
              </c:strCache>
            </c:strRef>
          </c:tx>
          <c:spPr>
            <a:ln w="12700">
              <a:solidFill>
                <a:srgbClr val="FF33CC"/>
              </a:solidFill>
            </a:ln>
          </c:spPr>
          <c:marker>
            <c:symbol val="circle"/>
            <c:size val="4"/>
            <c:spPr>
              <a:solidFill>
                <a:srgbClr val="FF33CC"/>
              </a:solidFill>
              <a:ln>
                <a:solidFill>
                  <a:srgbClr val="FF33CC"/>
                </a:solidFill>
              </a:ln>
            </c:spPr>
          </c:marker>
          <c:cat>
            <c:strRef>
              <c:f>Sheet1!$A$21:$A$24</c:f>
              <c:strCache>
                <c:ptCount val="4"/>
                <c:pt idx="0">
                  <c:v>T0</c:v>
                </c:pt>
                <c:pt idx="1">
                  <c:v>T1</c:v>
                </c:pt>
                <c:pt idx="2">
                  <c:v>T2</c:v>
                </c:pt>
                <c:pt idx="3">
                  <c:v> T3</c:v>
                </c:pt>
              </c:strCache>
            </c:strRef>
          </c:cat>
          <c:val>
            <c:numRef>
              <c:f>Sheet1!$F$21:$F$24</c:f>
              <c:numCache>
                <c:formatCode>General</c:formatCode>
                <c:ptCount val="4"/>
                <c:pt idx="0">
                  <c:v>5.95</c:v>
                </c:pt>
                <c:pt idx="1">
                  <c:v>7.1499999999999995</c:v>
                </c:pt>
                <c:pt idx="2">
                  <c:v>7.9300000000000024</c:v>
                </c:pt>
                <c:pt idx="3">
                  <c:v>8.74</c:v>
                </c:pt>
              </c:numCache>
            </c:numRef>
          </c:val>
        </c:ser>
        <c:marker val="1"/>
        <c:axId val="60862464"/>
        <c:axId val="60864768"/>
      </c:lineChart>
      <c:catAx>
        <c:axId val="60862464"/>
        <c:scaling>
          <c:orientation val="minMax"/>
        </c:scaling>
        <c:axPos val="b"/>
        <c:title>
          <c:tx>
            <c:rich>
              <a:bodyPr/>
              <a:lstStyle/>
              <a:p>
                <a:pPr>
                  <a:defRPr sz="1000" b="1" i="0" u="none" strike="noStrike" baseline="0">
                    <a:solidFill>
                      <a:srgbClr val="000000"/>
                    </a:solidFill>
                    <a:latin typeface="Times New Roman"/>
                    <a:ea typeface="Times New Roman"/>
                    <a:cs typeface="Times New Roman"/>
                  </a:defRPr>
                </a:pPr>
                <a:r>
                  <a:rPr lang="fr-FR"/>
                  <a:t>Temps (h)</a:t>
                </a:r>
              </a:p>
            </c:rich>
          </c:tx>
          <c:layout>
            <c:manualLayout>
              <c:xMode val="edge"/>
              <c:yMode val="edge"/>
              <c:x val="0.4101146034431648"/>
              <c:y val="0.92444263821860972"/>
            </c:manualLayout>
          </c:layout>
        </c:title>
        <c:numFmt formatCode="General" sourceLinked="1"/>
        <c:tickLblPos val="nextTo"/>
        <c:spPr>
          <a:noFill/>
          <a:ln w="9525">
            <a:solidFill>
              <a:sysClr val="windowText" lastClr="000000"/>
            </a:solidFill>
          </a:ln>
        </c:spPr>
        <c:txPr>
          <a:bodyPr rot="0" vert="horz"/>
          <a:lstStyle/>
          <a:p>
            <a:pPr>
              <a:defRPr sz="1000" b="1" i="0" u="none" strike="noStrike" baseline="0">
                <a:solidFill>
                  <a:srgbClr val="000000"/>
                </a:solidFill>
                <a:latin typeface="Calibri"/>
                <a:ea typeface="Calibri"/>
                <a:cs typeface="Calibri"/>
              </a:defRPr>
            </a:pPr>
            <a:endParaRPr lang="fr-FR"/>
          </a:p>
        </c:txPr>
        <c:crossAx val="60864768"/>
        <c:crosses val="autoZero"/>
        <c:auto val="1"/>
        <c:lblAlgn val="ctr"/>
        <c:lblOffset val="100"/>
      </c:catAx>
      <c:valAx>
        <c:axId val="60864768"/>
        <c:scaling>
          <c:orientation val="minMax"/>
          <c:max val="9.5"/>
          <c:min val="5.5"/>
        </c:scaling>
        <c:axPos val="l"/>
        <c:title>
          <c:tx>
            <c:rich>
              <a:bodyPr/>
              <a:lstStyle/>
              <a:p>
                <a:pPr>
                  <a:defRPr sz="1000" b="1" i="0" u="none" strike="noStrike" baseline="0">
                    <a:solidFill>
                      <a:srgbClr val="000000"/>
                    </a:solidFill>
                    <a:latin typeface="Times New Roman"/>
                    <a:ea typeface="Times New Roman"/>
                    <a:cs typeface="Times New Roman"/>
                  </a:defRPr>
                </a:pPr>
                <a:r>
                  <a:rPr lang="fr-FR"/>
                  <a:t>log UFC/ml</a:t>
                </a:r>
              </a:p>
            </c:rich>
          </c:tx>
          <c:layout/>
        </c:title>
        <c:numFmt formatCode="General" sourceLinked="1"/>
        <c:tickLblPos val="nextTo"/>
        <c:spPr>
          <a:ln w="9525">
            <a:solidFill>
              <a:schemeClr val="tx1"/>
            </a:solidFill>
          </a:ln>
        </c:spPr>
        <c:txPr>
          <a:bodyPr rot="0" vert="horz"/>
          <a:lstStyle/>
          <a:p>
            <a:pPr>
              <a:defRPr sz="1000" b="1" i="0" u="none" strike="noStrike" baseline="0">
                <a:solidFill>
                  <a:srgbClr val="000000"/>
                </a:solidFill>
                <a:latin typeface="Calibri"/>
                <a:ea typeface="Calibri"/>
                <a:cs typeface="Calibri"/>
              </a:defRPr>
            </a:pPr>
            <a:endParaRPr lang="fr-FR"/>
          </a:p>
        </c:txPr>
        <c:crossAx val="60862464"/>
        <c:crosses val="autoZero"/>
        <c:crossBetween val="midCat"/>
        <c:majorUnit val="0.5"/>
      </c:valAx>
    </c:plotArea>
    <c:plotVisOnly val="1"/>
    <c:dispBlanksAs val="gap"/>
  </c:chart>
  <c:spPr>
    <a:ln>
      <a:solidFill>
        <a:schemeClr val="bg1"/>
      </a:solidFill>
    </a:ln>
  </c:spPr>
  <c:txPr>
    <a:bodyPr/>
    <a:lstStyle/>
    <a:p>
      <a:pPr>
        <a:defRPr sz="1000" b="0" i="0" u="none" strike="noStrike" baseline="0">
          <a:solidFill>
            <a:srgbClr val="000000"/>
          </a:solidFill>
          <a:latin typeface="Calibri"/>
          <a:ea typeface="Calibri"/>
          <a:cs typeface="Calibri"/>
        </a:defRPr>
      </a:pPr>
      <a:endParaRPr lang="fr-FR"/>
    </a:p>
  </c:txPr>
  <c:externalData r:id="rId1"/>
  <c:userShapes r:id="rId2"/>
</c:chartSpace>
</file>

<file path=word/charts/chart27.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lgn="l">
              <a:defRPr/>
            </a:pPr>
            <a:r>
              <a:rPr lang="fr-FR" b="0">
                <a:latin typeface="Times New Roman" pitchFamily="18" charset="0"/>
                <a:cs typeface="Times New Roman" pitchFamily="18" charset="0"/>
              </a:rPr>
              <a:t>E</a:t>
            </a:r>
          </a:p>
        </c:rich>
      </c:tx>
      <c:layout>
        <c:manualLayout>
          <c:xMode val="edge"/>
          <c:yMode val="edge"/>
          <c:x val="2.6172900262467452E-3"/>
          <c:y val="1.6064257028112514E-2"/>
        </c:manualLayout>
      </c:layout>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19514948020343936"/>
          <c:y val="0.13486260000632491"/>
          <c:w val="0.7230846699718092"/>
          <c:h val="0.66933004342199165"/>
        </c:manualLayout>
      </c:layout>
      <c:lineChart>
        <c:grouping val="standard"/>
        <c:ser>
          <c:idx val="0"/>
          <c:order val="0"/>
          <c:tx>
            <c:strRef>
              <c:f>Sheet1!$B$20</c:f>
              <c:strCache>
                <c:ptCount val="1"/>
                <c:pt idx="0">
                  <c:v>1 (Temoin)</c:v>
                </c:pt>
              </c:strCache>
            </c:strRef>
          </c:tx>
          <c:spPr>
            <a:ln w="12700"/>
          </c:spPr>
          <c:errBars>
            <c:errDir val="y"/>
            <c:errBarType val="both"/>
            <c:errValType val="cust"/>
            <c:plus>
              <c:numRef>
                <c:f>Sheet1!$I$21:$M$21</c:f>
                <c:numCache>
                  <c:formatCode>General</c:formatCode>
                  <c:ptCount val="5"/>
                  <c:pt idx="0">
                    <c:v>3.3000000000000002E-2</c:v>
                  </c:pt>
                  <c:pt idx="1">
                    <c:v>4.2000000000000023E-2</c:v>
                  </c:pt>
                  <c:pt idx="2">
                    <c:v>4.1000000000000002E-2</c:v>
                  </c:pt>
                  <c:pt idx="3">
                    <c:v>2.8000000000000001E-2</c:v>
                  </c:pt>
                  <c:pt idx="4">
                    <c:v>3.2000000000000042E-2</c:v>
                  </c:pt>
                </c:numCache>
              </c:numRef>
            </c:plus>
            <c:minus>
              <c:numRef>
                <c:f>Sheet1!$I$21:$M$21</c:f>
                <c:numCache>
                  <c:formatCode>General</c:formatCode>
                  <c:ptCount val="5"/>
                  <c:pt idx="0">
                    <c:v>3.3000000000000002E-2</c:v>
                  </c:pt>
                  <c:pt idx="1">
                    <c:v>4.2000000000000023E-2</c:v>
                  </c:pt>
                  <c:pt idx="2">
                    <c:v>4.1000000000000002E-2</c:v>
                  </c:pt>
                  <c:pt idx="3">
                    <c:v>2.8000000000000001E-2</c:v>
                  </c:pt>
                  <c:pt idx="4">
                    <c:v>3.2000000000000042E-2</c:v>
                  </c:pt>
                </c:numCache>
              </c:numRef>
            </c:minus>
          </c:errBars>
          <c:cat>
            <c:strRef>
              <c:f>Sheet1!$A$21:$A$24</c:f>
              <c:strCache>
                <c:ptCount val="4"/>
                <c:pt idx="0">
                  <c:v>T0</c:v>
                </c:pt>
                <c:pt idx="1">
                  <c:v>T1</c:v>
                </c:pt>
                <c:pt idx="2">
                  <c:v>T2</c:v>
                </c:pt>
                <c:pt idx="3">
                  <c:v> T3</c:v>
                </c:pt>
              </c:strCache>
            </c:strRef>
          </c:cat>
          <c:val>
            <c:numRef>
              <c:f>Sheet1!$B$21:$B$24</c:f>
              <c:numCache>
                <c:formatCode>General</c:formatCode>
                <c:ptCount val="4"/>
                <c:pt idx="0">
                  <c:v>5.94</c:v>
                </c:pt>
                <c:pt idx="1">
                  <c:v>6.96</c:v>
                </c:pt>
                <c:pt idx="2">
                  <c:v>7.41</c:v>
                </c:pt>
                <c:pt idx="3">
                  <c:v>7.84</c:v>
                </c:pt>
              </c:numCache>
            </c:numRef>
          </c:val>
        </c:ser>
        <c:ser>
          <c:idx val="1"/>
          <c:order val="1"/>
          <c:tx>
            <c:strRef>
              <c:f>Sheet1!$C$20</c:f>
              <c:strCache>
                <c:ptCount val="1"/>
                <c:pt idx="0">
                  <c:v>2 (Lactoserum)</c:v>
                </c:pt>
              </c:strCache>
            </c:strRef>
          </c:tx>
          <c:spPr>
            <a:ln w="12700">
              <a:solidFill>
                <a:srgbClr val="FF9900"/>
              </a:solidFill>
            </a:ln>
          </c:spPr>
          <c:marker>
            <c:symbol val="square"/>
            <c:size val="4"/>
            <c:spPr>
              <a:solidFill>
                <a:srgbClr val="FF9900"/>
              </a:solidFill>
              <a:ln>
                <a:solidFill>
                  <a:srgbClr val="FF9900"/>
                </a:solidFill>
              </a:ln>
            </c:spPr>
          </c:marker>
          <c:errBars>
            <c:errDir val="y"/>
            <c:errBarType val="both"/>
            <c:errValType val="cust"/>
            <c:plus>
              <c:numRef>
                <c:f>Sheet1!$I$22:$M$22</c:f>
                <c:numCache>
                  <c:formatCode>General</c:formatCode>
                  <c:ptCount val="5"/>
                  <c:pt idx="0">
                    <c:v>2.5000000000000001E-2</c:v>
                  </c:pt>
                  <c:pt idx="1">
                    <c:v>3.3000000000000002E-2</c:v>
                  </c:pt>
                  <c:pt idx="2">
                    <c:v>3.7999999999999999E-2</c:v>
                  </c:pt>
                  <c:pt idx="3">
                    <c:v>3.1000000000000052E-2</c:v>
                  </c:pt>
                  <c:pt idx="4">
                    <c:v>2.5000000000000001E-2</c:v>
                  </c:pt>
                </c:numCache>
              </c:numRef>
            </c:plus>
            <c:minus>
              <c:numRef>
                <c:f>Sheet1!$I$22:$M$22</c:f>
                <c:numCache>
                  <c:formatCode>General</c:formatCode>
                  <c:ptCount val="5"/>
                  <c:pt idx="0">
                    <c:v>2.5000000000000001E-2</c:v>
                  </c:pt>
                  <c:pt idx="1">
                    <c:v>3.3000000000000002E-2</c:v>
                  </c:pt>
                  <c:pt idx="2">
                    <c:v>3.7999999999999999E-2</c:v>
                  </c:pt>
                  <c:pt idx="3">
                    <c:v>3.1000000000000052E-2</c:v>
                  </c:pt>
                  <c:pt idx="4">
                    <c:v>2.5000000000000001E-2</c:v>
                  </c:pt>
                </c:numCache>
              </c:numRef>
            </c:minus>
          </c:errBars>
          <c:cat>
            <c:strRef>
              <c:f>Sheet1!$A$21:$A$24</c:f>
              <c:strCache>
                <c:ptCount val="4"/>
                <c:pt idx="0">
                  <c:v>T0</c:v>
                </c:pt>
                <c:pt idx="1">
                  <c:v>T1</c:v>
                </c:pt>
                <c:pt idx="2">
                  <c:v>T2</c:v>
                </c:pt>
                <c:pt idx="3">
                  <c:v> T3</c:v>
                </c:pt>
              </c:strCache>
            </c:strRef>
          </c:cat>
          <c:val>
            <c:numRef>
              <c:f>Sheet1!$C$21:$C$24</c:f>
              <c:numCache>
                <c:formatCode>General</c:formatCode>
                <c:ptCount val="4"/>
                <c:pt idx="0">
                  <c:v>5.94</c:v>
                </c:pt>
                <c:pt idx="1">
                  <c:v>7.14</c:v>
                </c:pt>
                <c:pt idx="2">
                  <c:v>7.76</c:v>
                </c:pt>
                <c:pt idx="3">
                  <c:v>8.48</c:v>
                </c:pt>
              </c:numCache>
            </c:numRef>
          </c:val>
        </c:ser>
        <c:ser>
          <c:idx val="2"/>
          <c:order val="2"/>
          <c:tx>
            <c:strRef>
              <c:f>Sheet1!$D$20</c:f>
              <c:strCache>
                <c:ptCount val="1"/>
                <c:pt idx="0">
                  <c:v>3 (Promilk)</c:v>
                </c:pt>
              </c:strCache>
            </c:strRef>
          </c:tx>
          <c:spPr>
            <a:ln w="12700">
              <a:solidFill>
                <a:srgbClr val="92D050"/>
              </a:solidFill>
            </a:ln>
          </c:spPr>
          <c:marker>
            <c:spPr>
              <a:solidFill>
                <a:srgbClr val="92D050"/>
              </a:solidFill>
              <a:ln>
                <a:solidFill>
                  <a:srgbClr val="92D050"/>
                </a:solidFill>
              </a:ln>
            </c:spPr>
          </c:marker>
          <c:errBars>
            <c:errDir val="y"/>
            <c:errBarType val="both"/>
            <c:errValType val="cust"/>
            <c:plus>
              <c:numRef>
                <c:f>Sheet1!$I$23:$M$23</c:f>
                <c:numCache>
                  <c:formatCode>General</c:formatCode>
                  <c:ptCount val="5"/>
                  <c:pt idx="0">
                    <c:v>3.0000000000000002E-2</c:v>
                  </c:pt>
                  <c:pt idx="1">
                    <c:v>4.3999999999999997E-2</c:v>
                  </c:pt>
                  <c:pt idx="2">
                    <c:v>3.1000000000000052E-2</c:v>
                  </c:pt>
                  <c:pt idx="3">
                    <c:v>3.9000000000000014E-2</c:v>
                  </c:pt>
                  <c:pt idx="4">
                    <c:v>3.7999999999999999E-2</c:v>
                  </c:pt>
                </c:numCache>
              </c:numRef>
            </c:plus>
            <c:minus>
              <c:numRef>
                <c:f>Sheet1!$I$23:$M$23</c:f>
                <c:numCache>
                  <c:formatCode>General</c:formatCode>
                  <c:ptCount val="5"/>
                  <c:pt idx="0">
                    <c:v>3.0000000000000002E-2</c:v>
                  </c:pt>
                  <c:pt idx="1">
                    <c:v>4.3999999999999997E-2</c:v>
                  </c:pt>
                  <c:pt idx="2">
                    <c:v>3.1000000000000052E-2</c:v>
                  </c:pt>
                  <c:pt idx="3">
                    <c:v>3.9000000000000014E-2</c:v>
                  </c:pt>
                  <c:pt idx="4">
                    <c:v>3.7999999999999999E-2</c:v>
                  </c:pt>
                </c:numCache>
              </c:numRef>
            </c:minus>
          </c:errBars>
          <c:cat>
            <c:strRef>
              <c:f>Sheet1!$A$21:$A$24</c:f>
              <c:strCache>
                <c:ptCount val="4"/>
                <c:pt idx="0">
                  <c:v>T0</c:v>
                </c:pt>
                <c:pt idx="1">
                  <c:v>T1</c:v>
                </c:pt>
                <c:pt idx="2">
                  <c:v>T2</c:v>
                </c:pt>
                <c:pt idx="3">
                  <c:v> T3</c:v>
                </c:pt>
              </c:strCache>
            </c:strRef>
          </c:cat>
          <c:val>
            <c:numRef>
              <c:f>Sheet1!$D$21:$D$24</c:f>
              <c:numCache>
                <c:formatCode>General</c:formatCode>
                <c:ptCount val="4"/>
                <c:pt idx="0">
                  <c:v>5.94</c:v>
                </c:pt>
                <c:pt idx="1">
                  <c:v>6.92</c:v>
                </c:pt>
                <c:pt idx="2">
                  <c:v>7.48</c:v>
                </c:pt>
                <c:pt idx="3">
                  <c:v>8.0300000000000011</c:v>
                </c:pt>
              </c:numCache>
            </c:numRef>
          </c:val>
        </c:ser>
        <c:ser>
          <c:idx val="3"/>
          <c:order val="3"/>
          <c:tx>
            <c:strRef>
              <c:f>Sheet1!$E$20</c:f>
              <c:strCache>
                <c:ptCount val="1"/>
                <c:pt idx="0">
                  <c:v>4 (H. Caseine)</c:v>
                </c:pt>
              </c:strCache>
            </c:strRef>
          </c:tx>
          <c:spPr>
            <a:ln w="12700">
              <a:solidFill>
                <a:srgbClr val="990099"/>
              </a:solidFill>
            </a:ln>
          </c:spPr>
          <c:marker>
            <c:spPr>
              <a:solidFill>
                <a:srgbClr val="990099"/>
              </a:solidFill>
              <a:ln>
                <a:solidFill>
                  <a:srgbClr val="990099"/>
                </a:solidFill>
              </a:ln>
            </c:spPr>
          </c:marker>
          <c:errBars>
            <c:errDir val="y"/>
            <c:errBarType val="both"/>
            <c:errValType val="cust"/>
            <c:plus>
              <c:numRef>
                <c:f>Sheet1!$I$24:$M$24</c:f>
                <c:numCache>
                  <c:formatCode>General</c:formatCode>
                  <c:ptCount val="5"/>
                  <c:pt idx="0">
                    <c:v>5.7000000000000023E-2</c:v>
                  </c:pt>
                  <c:pt idx="1">
                    <c:v>3.6999999999999998E-2</c:v>
                  </c:pt>
                  <c:pt idx="2">
                    <c:v>3.4000000000000002E-2</c:v>
                  </c:pt>
                  <c:pt idx="3">
                    <c:v>3.4000000000000002E-2</c:v>
                  </c:pt>
                  <c:pt idx="4">
                    <c:v>2.9000000000000001E-2</c:v>
                  </c:pt>
                </c:numCache>
              </c:numRef>
            </c:plus>
            <c:minus>
              <c:numRef>
                <c:f>Sheet1!$I$24:$M$24</c:f>
                <c:numCache>
                  <c:formatCode>General</c:formatCode>
                  <c:ptCount val="5"/>
                  <c:pt idx="0">
                    <c:v>5.7000000000000023E-2</c:v>
                  </c:pt>
                  <c:pt idx="1">
                    <c:v>3.6999999999999998E-2</c:v>
                  </c:pt>
                  <c:pt idx="2">
                    <c:v>3.4000000000000002E-2</c:v>
                  </c:pt>
                  <c:pt idx="3">
                    <c:v>3.4000000000000002E-2</c:v>
                  </c:pt>
                  <c:pt idx="4">
                    <c:v>2.9000000000000001E-2</c:v>
                  </c:pt>
                </c:numCache>
              </c:numRef>
            </c:minus>
          </c:errBars>
          <c:cat>
            <c:strRef>
              <c:f>Sheet1!$A$21:$A$24</c:f>
              <c:strCache>
                <c:ptCount val="4"/>
                <c:pt idx="0">
                  <c:v>T0</c:v>
                </c:pt>
                <c:pt idx="1">
                  <c:v>T1</c:v>
                </c:pt>
                <c:pt idx="2">
                  <c:v>T2</c:v>
                </c:pt>
                <c:pt idx="3">
                  <c:v> T3</c:v>
                </c:pt>
              </c:strCache>
            </c:strRef>
          </c:cat>
          <c:val>
            <c:numRef>
              <c:f>Sheet1!$E$21:$E$24</c:f>
              <c:numCache>
                <c:formatCode>General</c:formatCode>
                <c:ptCount val="4"/>
                <c:pt idx="0">
                  <c:v>5.94</c:v>
                </c:pt>
                <c:pt idx="1">
                  <c:v>7.05</c:v>
                </c:pt>
                <c:pt idx="2">
                  <c:v>7.56</c:v>
                </c:pt>
                <c:pt idx="3">
                  <c:v>8.27</c:v>
                </c:pt>
              </c:numCache>
            </c:numRef>
          </c:val>
        </c:ser>
        <c:ser>
          <c:idx val="4"/>
          <c:order val="4"/>
          <c:tx>
            <c:strRef>
              <c:f>Sheet1!$F$20</c:f>
              <c:strCache>
                <c:ptCount val="1"/>
                <c:pt idx="0">
                  <c:v>5 (H. Proteine)</c:v>
                </c:pt>
              </c:strCache>
            </c:strRef>
          </c:tx>
          <c:spPr>
            <a:ln w="12700">
              <a:solidFill>
                <a:srgbClr val="FF33CC"/>
              </a:solidFill>
            </a:ln>
          </c:spPr>
          <c:marker>
            <c:symbol val="circle"/>
            <c:size val="4"/>
            <c:spPr>
              <a:solidFill>
                <a:srgbClr val="FF33CC"/>
              </a:solidFill>
              <a:ln>
                <a:solidFill>
                  <a:srgbClr val="FF33CC"/>
                </a:solidFill>
              </a:ln>
            </c:spPr>
          </c:marker>
          <c:cat>
            <c:strRef>
              <c:f>Sheet1!$A$21:$A$24</c:f>
              <c:strCache>
                <c:ptCount val="4"/>
                <c:pt idx="0">
                  <c:v>T0</c:v>
                </c:pt>
                <c:pt idx="1">
                  <c:v>T1</c:v>
                </c:pt>
                <c:pt idx="2">
                  <c:v>T2</c:v>
                </c:pt>
                <c:pt idx="3">
                  <c:v> T3</c:v>
                </c:pt>
              </c:strCache>
            </c:strRef>
          </c:cat>
          <c:val>
            <c:numRef>
              <c:f>Sheet1!$F$21:$F$24</c:f>
              <c:numCache>
                <c:formatCode>General</c:formatCode>
                <c:ptCount val="4"/>
                <c:pt idx="0">
                  <c:v>5.94</c:v>
                </c:pt>
                <c:pt idx="1">
                  <c:v>7.13</c:v>
                </c:pt>
                <c:pt idx="2">
                  <c:v>7.7</c:v>
                </c:pt>
                <c:pt idx="3">
                  <c:v>8.42</c:v>
                </c:pt>
              </c:numCache>
            </c:numRef>
          </c:val>
        </c:ser>
        <c:marker val="1"/>
        <c:axId val="60950784"/>
        <c:axId val="60965632"/>
      </c:lineChart>
      <c:catAx>
        <c:axId val="60950784"/>
        <c:scaling>
          <c:orientation val="minMax"/>
        </c:scaling>
        <c:axPos val="b"/>
        <c:title>
          <c:tx>
            <c:rich>
              <a:bodyPr/>
              <a:lstStyle/>
              <a:p>
                <a:pPr>
                  <a:defRPr>
                    <a:latin typeface="Times New Roman" pitchFamily="18" charset="0"/>
                    <a:cs typeface="Times New Roman" pitchFamily="18" charset="0"/>
                  </a:defRPr>
                </a:pPr>
                <a:r>
                  <a:rPr lang="en-US">
                    <a:latin typeface="Times New Roman" pitchFamily="18" charset="0"/>
                    <a:cs typeface="Times New Roman" pitchFamily="18" charset="0"/>
                  </a:rPr>
                  <a:t>Temps (h)</a:t>
                </a:r>
              </a:p>
            </c:rich>
          </c:tx>
          <c:layout>
            <c:manualLayout>
              <c:xMode val="edge"/>
              <c:yMode val="edge"/>
              <c:x val="0.42826622281970894"/>
              <c:y val="0.90660225442834164"/>
            </c:manualLayout>
          </c:layout>
        </c:title>
        <c:numFmt formatCode="General" sourceLinked="1"/>
        <c:tickLblPos val="nextTo"/>
        <c:spPr>
          <a:ln w="9525">
            <a:solidFill>
              <a:sysClr val="windowText" lastClr="000000"/>
            </a:solidFill>
          </a:ln>
        </c:spPr>
        <c:txPr>
          <a:bodyPr/>
          <a:lstStyle/>
          <a:p>
            <a:pPr>
              <a:defRPr b="1" i="0" baseline="0"/>
            </a:pPr>
            <a:endParaRPr lang="fr-FR"/>
          </a:p>
        </c:txPr>
        <c:crossAx val="60965632"/>
        <c:crosses val="autoZero"/>
        <c:auto val="1"/>
        <c:lblAlgn val="ctr"/>
        <c:lblOffset val="100"/>
      </c:catAx>
      <c:valAx>
        <c:axId val="60965632"/>
        <c:scaling>
          <c:orientation val="minMax"/>
          <c:max val="9"/>
          <c:min val="5.5"/>
        </c:scaling>
        <c:axPos val="l"/>
        <c:title>
          <c:tx>
            <c:rich>
              <a:bodyPr rot="-5400000" vert="horz"/>
              <a:lstStyle/>
              <a:p>
                <a:pPr>
                  <a:defRPr>
                    <a:latin typeface="Times New Roman" pitchFamily="18" charset="0"/>
                    <a:cs typeface="Times New Roman" pitchFamily="18" charset="0"/>
                  </a:defRPr>
                </a:pPr>
                <a:r>
                  <a:rPr lang="en-US">
                    <a:latin typeface="Times New Roman" pitchFamily="18" charset="0"/>
                    <a:cs typeface="Times New Roman" pitchFamily="18" charset="0"/>
                  </a:rPr>
                  <a:t>log UFC/ml</a:t>
                </a:r>
              </a:p>
            </c:rich>
          </c:tx>
          <c:layout/>
        </c:title>
        <c:numFmt formatCode="General" sourceLinked="1"/>
        <c:tickLblPos val="nextTo"/>
        <c:spPr>
          <a:ln w="9525">
            <a:solidFill>
              <a:schemeClr val="tx1"/>
            </a:solidFill>
          </a:ln>
        </c:spPr>
        <c:txPr>
          <a:bodyPr/>
          <a:lstStyle/>
          <a:p>
            <a:pPr>
              <a:defRPr b="1" i="0" baseline="0"/>
            </a:pPr>
            <a:endParaRPr lang="fr-FR"/>
          </a:p>
        </c:txPr>
        <c:crossAx val="60950784"/>
        <c:crosses val="autoZero"/>
        <c:crossBetween val="midCat"/>
        <c:majorUnit val="0.5"/>
      </c:valAx>
    </c:plotArea>
    <c:plotVisOnly val="1"/>
    <c:dispBlanksAs val="gap"/>
  </c:chart>
  <c:spPr>
    <a:ln>
      <a:noFill/>
    </a:ln>
  </c:spPr>
  <c:externalData r:id="rId1"/>
  <c:userShapes r:id="rId2"/>
</c:chartSpace>
</file>

<file path=word/charts/chart28.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a:pPr>
            <a:r>
              <a:rPr lang="fr-FR" b="0"/>
              <a:t>C</a:t>
            </a:r>
          </a:p>
        </c:rich>
      </c:tx>
      <c:layout>
        <c:manualLayout>
          <c:xMode val="edge"/>
          <c:yMode val="edge"/>
          <c:x val="6.2361882678775585E-2"/>
          <c:y val="1.4869888475836441E-2"/>
        </c:manualLayout>
      </c:layout>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23901196399529911"/>
          <c:y val="0.1318850616620372"/>
          <c:w val="0.63295959866168983"/>
          <c:h val="0.62954853841614544"/>
        </c:manualLayout>
      </c:layout>
      <c:lineChart>
        <c:grouping val="standard"/>
        <c:ser>
          <c:idx val="0"/>
          <c:order val="0"/>
          <c:tx>
            <c:strRef>
              <c:f>[1]Sheet2!$B$49</c:f>
              <c:strCache>
                <c:ptCount val="1"/>
                <c:pt idx="0">
                  <c:v>1 (Temoin)</c:v>
                </c:pt>
              </c:strCache>
            </c:strRef>
          </c:tx>
          <c:spPr>
            <a:ln w="12700"/>
          </c:spPr>
          <c:marker>
            <c:symbol val="diamond"/>
            <c:size val="4"/>
          </c:marker>
          <c:errBars>
            <c:errDir val="y"/>
            <c:errBarType val="both"/>
            <c:errValType val="cust"/>
            <c:plus>
              <c:numRef>
                <c:f>[1]Sheet2!$I$50:$I$53</c:f>
                <c:numCache>
                  <c:formatCode>General</c:formatCode>
                  <c:ptCount val="4"/>
                  <c:pt idx="0">
                    <c:v>4.3999999999999997E-2</c:v>
                  </c:pt>
                  <c:pt idx="1">
                    <c:v>6.3E-2</c:v>
                  </c:pt>
                  <c:pt idx="2">
                    <c:v>3.3000000000000002E-2</c:v>
                  </c:pt>
                  <c:pt idx="3">
                    <c:v>5.5000000000000014E-2</c:v>
                  </c:pt>
                </c:numCache>
              </c:numRef>
            </c:plus>
            <c:minus>
              <c:numRef>
                <c:f>[1]Sheet2!$I$50:$I$53</c:f>
                <c:numCache>
                  <c:formatCode>General</c:formatCode>
                  <c:ptCount val="4"/>
                  <c:pt idx="0">
                    <c:v>4.3999999999999997E-2</c:v>
                  </c:pt>
                  <c:pt idx="1">
                    <c:v>6.3E-2</c:v>
                  </c:pt>
                  <c:pt idx="2">
                    <c:v>3.3000000000000002E-2</c:v>
                  </c:pt>
                  <c:pt idx="3">
                    <c:v>5.5000000000000014E-2</c:v>
                  </c:pt>
                </c:numCache>
              </c:numRef>
            </c:minus>
          </c:errBars>
          <c:cat>
            <c:strRef>
              <c:f>[1]Sheet2!$A$50:$A$53</c:f>
              <c:strCache>
                <c:ptCount val="4"/>
                <c:pt idx="0">
                  <c:v>T0</c:v>
                </c:pt>
                <c:pt idx="1">
                  <c:v>T1</c:v>
                </c:pt>
                <c:pt idx="2">
                  <c:v>T2</c:v>
                </c:pt>
                <c:pt idx="3">
                  <c:v> T3</c:v>
                </c:pt>
              </c:strCache>
            </c:strRef>
          </c:cat>
          <c:val>
            <c:numRef>
              <c:f>[1]Sheet2!$B$50:$B$53</c:f>
              <c:numCache>
                <c:formatCode>General</c:formatCode>
                <c:ptCount val="4"/>
                <c:pt idx="0">
                  <c:v>5.95</c:v>
                </c:pt>
                <c:pt idx="1">
                  <c:v>6.92</c:v>
                </c:pt>
                <c:pt idx="2">
                  <c:v>7.41</c:v>
                </c:pt>
                <c:pt idx="3">
                  <c:v>8.01</c:v>
                </c:pt>
              </c:numCache>
            </c:numRef>
          </c:val>
        </c:ser>
        <c:ser>
          <c:idx val="1"/>
          <c:order val="1"/>
          <c:tx>
            <c:strRef>
              <c:f>[1]Sheet2!$C$49</c:f>
              <c:strCache>
                <c:ptCount val="1"/>
                <c:pt idx="0">
                  <c:v>2 (Lactoserum)</c:v>
                </c:pt>
              </c:strCache>
            </c:strRef>
          </c:tx>
          <c:spPr>
            <a:ln w="12700">
              <a:solidFill>
                <a:srgbClr val="FF9900"/>
              </a:solidFill>
            </a:ln>
          </c:spPr>
          <c:marker>
            <c:symbol val="square"/>
            <c:size val="4"/>
            <c:spPr>
              <a:solidFill>
                <a:srgbClr val="FF9900"/>
              </a:solidFill>
              <a:ln>
                <a:solidFill>
                  <a:srgbClr val="FF9900"/>
                </a:solidFill>
              </a:ln>
            </c:spPr>
          </c:marker>
          <c:errBars>
            <c:errDir val="y"/>
            <c:errBarType val="both"/>
            <c:errValType val="cust"/>
            <c:plus>
              <c:numRef>
                <c:f>[1]Sheet2!$J$50:$J$53</c:f>
                <c:numCache>
                  <c:formatCode>General</c:formatCode>
                  <c:ptCount val="4"/>
                  <c:pt idx="0">
                    <c:v>3.2000000000000042E-2</c:v>
                  </c:pt>
                  <c:pt idx="1">
                    <c:v>3.3000000000000002E-2</c:v>
                  </c:pt>
                  <c:pt idx="2">
                    <c:v>2.3E-2</c:v>
                  </c:pt>
                  <c:pt idx="3">
                    <c:v>3.500000000000001E-2</c:v>
                  </c:pt>
                </c:numCache>
              </c:numRef>
            </c:plus>
            <c:minus>
              <c:numRef>
                <c:f>[1]Sheet2!$J$50:$J$53</c:f>
                <c:numCache>
                  <c:formatCode>General</c:formatCode>
                  <c:ptCount val="4"/>
                  <c:pt idx="0">
                    <c:v>3.2000000000000042E-2</c:v>
                  </c:pt>
                  <c:pt idx="1">
                    <c:v>3.3000000000000002E-2</c:v>
                  </c:pt>
                  <c:pt idx="2">
                    <c:v>2.3E-2</c:v>
                  </c:pt>
                  <c:pt idx="3">
                    <c:v>3.500000000000001E-2</c:v>
                  </c:pt>
                </c:numCache>
              </c:numRef>
            </c:minus>
          </c:errBars>
          <c:cat>
            <c:strRef>
              <c:f>[1]Sheet2!$A$50:$A$53</c:f>
              <c:strCache>
                <c:ptCount val="4"/>
                <c:pt idx="0">
                  <c:v>T0</c:v>
                </c:pt>
                <c:pt idx="1">
                  <c:v>T1</c:v>
                </c:pt>
                <c:pt idx="2">
                  <c:v>T2</c:v>
                </c:pt>
                <c:pt idx="3">
                  <c:v> T3</c:v>
                </c:pt>
              </c:strCache>
            </c:strRef>
          </c:cat>
          <c:val>
            <c:numRef>
              <c:f>[1]Sheet2!$C$50:$C$53</c:f>
              <c:numCache>
                <c:formatCode>General</c:formatCode>
                <c:ptCount val="4"/>
                <c:pt idx="0">
                  <c:v>5.9700000000000024</c:v>
                </c:pt>
                <c:pt idx="1">
                  <c:v>7.23</c:v>
                </c:pt>
                <c:pt idx="2">
                  <c:v>7.91</c:v>
                </c:pt>
                <c:pt idx="3">
                  <c:v>8.65</c:v>
                </c:pt>
              </c:numCache>
            </c:numRef>
          </c:val>
        </c:ser>
        <c:ser>
          <c:idx val="2"/>
          <c:order val="2"/>
          <c:tx>
            <c:strRef>
              <c:f>[1]Sheet2!$D$49</c:f>
              <c:strCache>
                <c:ptCount val="1"/>
                <c:pt idx="0">
                  <c:v>3 (Promilk)</c:v>
                </c:pt>
              </c:strCache>
            </c:strRef>
          </c:tx>
          <c:spPr>
            <a:ln w="12700">
              <a:solidFill>
                <a:srgbClr val="92D050"/>
              </a:solidFill>
            </a:ln>
          </c:spPr>
          <c:marker>
            <c:symbol val="triangle"/>
            <c:size val="4"/>
            <c:spPr>
              <a:solidFill>
                <a:srgbClr val="92D050"/>
              </a:solidFill>
              <a:ln>
                <a:solidFill>
                  <a:srgbClr val="92D050"/>
                </a:solidFill>
              </a:ln>
            </c:spPr>
          </c:marker>
          <c:errBars>
            <c:errDir val="y"/>
            <c:errBarType val="both"/>
            <c:errValType val="cust"/>
            <c:plus>
              <c:numRef>
                <c:f>[1]Sheet2!$K$50:$K$53</c:f>
                <c:numCache>
                  <c:formatCode>General</c:formatCode>
                  <c:ptCount val="4"/>
                  <c:pt idx="0">
                    <c:v>2.5999999999999999E-2</c:v>
                  </c:pt>
                  <c:pt idx="1">
                    <c:v>2.5999999999999999E-2</c:v>
                  </c:pt>
                  <c:pt idx="2">
                    <c:v>3.4000000000000002E-2</c:v>
                  </c:pt>
                  <c:pt idx="3">
                    <c:v>2.5999999999999999E-2</c:v>
                  </c:pt>
                </c:numCache>
              </c:numRef>
            </c:plus>
            <c:minus>
              <c:numRef>
                <c:f>[1]Sheet2!$K$50:$K$53</c:f>
                <c:numCache>
                  <c:formatCode>General</c:formatCode>
                  <c:ptCount val="4"/>
                  <c:pt idx="0">
                    <c:v>2.5999999999999999E-2</c:v>
                  </c:pt>
                  <c:pt idx="1">
                    <c:v>2.5999999999999999E-2</c:v>
                  </c:pt>
                  <c:pt idx="2">
                    <c:v>3.4000000000000002E-2</c:v>
                  </c:pt>
                  <c:pt idx="3">
                    <c:v>2.5999999999999999E-2</c:v>
                  </c:pt>
                </c:numCache>
              </c:numRef>
            </c:minus>
          </c:errBars>
          <c:cat>
            <c:strRef>
              <c:f>[1]Sheet2!$A$50:$A$53</c:f>
              <c:strCache>
                <c:ptCount val="4"/>
                <c:pt idx="0">
                  <c:v>T0</c:v>
                </c:pt>
                <c:pt idx="1">
                  <c:v>T1</c:v>
                </c:pt>
                <c:pt idx="2">
                  <c:v>T2</c:v>
                </c:pt>
                <c:pt idx="3">
                  <c:v> T3</c:v>
                </c:pt>
              </c:strCache>
            </c:strRef>
          </c:cat>
          <c:val>
            <c:numRef>
              <c:f>[1]Sheet2!$D$50:$D$53</c:f>
              <c:numCache>
                <c:formatCode>General</c:formatCode>
                <c:ptCount val="4"/>
                <c:pt idx="0">
                  <c:v>5.94</c:v>
                </c:pt>
                <c:pt idx="1">
                  <c:v>7.01</c:v>
                </c:pt>
                <c:pt idx="2">
                  <c:v>7.54</c:v>
                </c:pt>
                <c:pt idx="3">
                  <c:v>8.2200000000000006</c:v>
                </c:pt>
              </c:numCache>
            </c:numRef>
          </c:val>
        </c:ser>
        <c:ser>
          <c:idx val="3"/>
          <c:order val="3"/>
          <c:tx>
            <c:strRef>
              <c:f>[1]Sheet2!$E$49</c:f>
              <c:strCache>
                <c:ptCount val="1"/>
                <c:pt idx="0">
                  <c:v>4 (H. Caseine)</c:v>
                </c:pt>
              </c:strCache>
            </c:strRef>
          </c:tx>
          <c:spPr>
            <a:ln w="12700">
              <a:solidFill>
                <a:srgbClr val="990099"/>
              </a:solidFill>
            </a:ln>
          </c:spPr>
          <c:marker>
            <c:symbol val="x"/>
            <c:size val="4"/>
            <c:spPr>
              <a:solidFill>
                <a:srgbClr val="990099"/>
              </a:solidFill>
              <a:ln>
                <a:solidFill>
                  <a:srgbClr val="990099"/>
                </a:solidFill>
              </a:ln>
            </c:spPr>
          </c:marker>
          <c:errBars>
            <c:errDir val="y"/>
            <c:errBarType val="both"/>
            <c:errValType val="cust"/>
            <c:plus>
              <c:numRef>
                <c:f>[1]Sheet2!$L$50:$L$53</c:f>
                <c:numCache>
                  <c:formatCode>General</c:formatCode>
                  <c:ptCount val="4"/>
                  <c:pt idx="0">
                    <c:v>3.5999999999999997E-2</c:v>
                  </c:pt>
                  <c:pt idx="1">
                    <c:v>2.5000000000000001E-2</c:v>
                  </c:pt>
                  <c:pt idx="2">
                    <c:v>2.5999999999999999E-2</c:v>
                  </c:pt>
                  <c:pt idx="3">
                    <c:v>3.1000000000000052E-2</c:v>
                  </c:pt>
                </c:numCache>
              </c:numRef>
            </c:plus>
            <c:minus>
              <c:numRef>
                <c:f>[1]Sheet2!$L$50:$L$53</c:f>
                <c:numCache>
                  <c:formatCode>General</c:formatCode>
                  <c:ptCount val="4"/>
                  <c:pt idx="0">
                    <c:v>3.5999999999999997E-2</c:v>
                  </c:pt>
                  <c:pt idx="1">
                    <c:v>2.5000000000000001E-2</c:v>
                  </c:pt>
                  <c:pt idx="2">
                    <c:v>2.5999999999999999E-2</c:v>
                  </c:pt>
                  <c:pt idx="3">
                    <c:v>3.1000000000000052E-2</c:v>
                  </c:pt>
                </c:numCache>
              </c:numRef>
            </c:minus>
          </c:errBars>
          <c:cat>
            <c:strRef>
              <c:f>[1]Sheet2!$A$50:$A$53</c:f>
              <c:strCache>
                <c:ptCount val="4"/>
                <c:pt idx="0">
                  <c:v>T0</c:v>
                </c:pt>
                <c:pt idx="1">
                  <c:v>T1</c:v>
                </c:pt>
                <c:pt idx="2">
                  <c:v>T2</c:v>
                </c:pt>
                <c:pt idx="3">
                  <c:v> T3</c:v>
                </c:pt>
              </c:strCache>
            </c:strRef>
          </c:cat>
          <c:val>
            <c:numRef>
              <c:f>[1]Sheet2!$E$50:$E$53</c:f>
              <c:numCache>
                <c:formatCode>General</c:formatCode>
                <c:ptCount val="4"/>
                <c:pt idx="0">
                  <c:v>5.96</c:v>
                </c:pt>
                <c:pt idx="1">
                  <c:v>7.08</c:v>
                </c:pt>
                <c:pt idx="2">
                  <c:v>7.68</c:v>
                </c:pt>
                <c:pt idx="3">
                  <c:v>8.4500000000000028</c:v>
                </c:pt>
              </c:numCache>
            </c:numRef>
          </c:val>
        </c:ser>
        <c:ser>
          <c:idx val="4"/>
          <c:order val="4"/>
          <c:tx>
            <c:strRef>
              <c:f>[1]Sheet2!$F$49</c:f>
              <c:strCache>
                <c:ptCount val="1"/>
                <c:pt idx="0">
                  <c:v>5 (H. Proteine)</c:v>
                </c:pt>
              </c:strCache>
            </c:strRef>
          </c:tx>
          <c:spPr>
            <a:ln w="12700">
              <a:solidFill>
                <a:srgbClr val="FF33CC"/>
              </a:solidFill>
            </a:ln>
          </c:spPr>
          <c:marker>
            <c:symbol val="circle"/>
            <c:size val="4"/>
            <c:spPr>
              <a:solidFill>
                <a:srgbClr val="FF33CC"/>
              </a:solidFill>
              <a:ln>
                <a:solidFill>
                  <a:srgbClr val="FF33CC"/>
                </a:solidFill>
              </a:ln>
            </c:spPr>
          </c:marker>
          <c:errBars>
            <c:errDir val="y"/>
            <c:errBarType val="both"/>
            <c:errValType val="cust"/>
            <c:plus>
              <c:numRef>
                <c:f>[1]Sheet2!$M$50:$M$53</c:f>
                <c:numCache>
                  <c:formatCode>General</c:formatCode>
                  <c:ptCount val="4"/>
                  <c:pt idx="0">
                    <c:v>5.1000000000000004E-2</c:v>
                  </c:pt>
                  <c:pt idx="1">
                    <c:v>3.4000000000000002E-2</c:v>
                  </c:pt>
                  <c:pt idx="2">
                    <c:v>4.2000000000000023E-2</c:v>
                  </c:pt>
                  <c:pt idx="3">
                    <c:v>5.3000000000000012E-2</c:v>
                  </c:pt>
                </c:numCache>
              </c:numRef>
            </c:plus>
            <c:minus>
              <c:numRef>
                <c:f>[1]Sheet2!$M$53</c:f>
                <c:numCache>
                  <c:formatCode>General</c:formatCode>
                  <c:ptCount val="1"/>
                  <c:pt idx="0">
                    <c:v>5.3000000000000012E-2</c:v>
                  </c:pt>
                </c:numCache>
              </c:numRef>
            </c:minus>
            <c:spPr>
              <a:ln w="3175">
                <a:solidFill>
                  <a:srgbClr val="FF33CC"/>
                </a:solidFill>
                <a:prstDash val="solid"/>
              </a:ln>
            </c:spPr>
          </c:errBars>
          <c:cat>
            <c:strRef>
              <c:f>[1]Sheet2!$A$50:$A$53</c:f>
              <c:strCache>
                <c:ptCount val="4"/>
                <c:pt idx="0">
                  <c:v>T0</c:v>
                </c:pt>
                <c:pt idx="1">
                  <c:v>T1</c:v>
                </c:pt>
                <c:pt idx="2">
                  <c:v>T2</c:v>
                </c:pt>
                <c:pt idx="3">
                  <c:v> T3</c:v>
                </c:pt>
              </c:strCache>
            </c:strRef>
          </c:cat>
          <c:val>
            <c:numRef>
              <c:f>[1]Sheet2!$F$50:$F$53</c:f>
              <c:numCache>
                <c:formatCode>General</c:formatCode>
                <c:ptCount val="4"/>
                <c:pt idx="0">
                  <c:v>5.96</c:v>
                </c:pt>
                <c:pt idx="1">
                  <c:v>7.25</c:v>
                </c:pt>
                <c:pt idx="2">
                  <c:v>8.0300000000000011</c:v>
                </c:pt>
                <c:pt idx="3">
                  <c:v>8.77</c:v>
                </c:pt>
              </c:numCache>
            </c:numRef>
          </c:val>
        </c:ser>
        <c:marker val="1"/>
        <c:axId val="61048704"/>
        <c:axId val="61050880"/>
      </c:lineChart>
      <c:catAx>
        <c:axId val="61048704"/>
        <c:scaling>
          <c:orientation val="minMax"/>
        </c:scaling>
        <c:axPos val="b"/>
        <c:title>
          <c:tx>
            <c:rich>
              <a:bodyPr/>
              <a:lstStyle/>
              <a:p>
                <a:pPr>
                  <a:defRPr/>
                </a:pPr>
                <a:r>
                  <a:rPr lang="en-US"/>
                  <a:t>Temps (h)</a:t>
                </a:r>
              </a:p>
            </c:rich>
          </c:tx>
          <c:layout>
            <c:manualLayout>
              <c:xMode val="edge"/>
              <c:yMode val="edge"/>
              <c:x val="0.42544579166868157"/>
              <c:y val="0.89471962844793107"/>
            </c:manualLayout>
          </c:layout>
        </c:title>
        <c:numFmt formatCode="General" sourceLinked="1"/>
        <c:tickLblPos val="nextTo"/>
        <c:spPr>
          <a:ln w="9525">
            <a:solidFill>
              <a:schemeClr val="tx1"/>
            </a:solidFill>
          </a:ln>
        </c:spPr>
        <c:txPr>
          <a:bodyPr/>
          <a:lstStyle/>
          <a:p>
            <a:pPr>
              <a:defRPr b="1" i="0" baseline="0"/>
            </a:pPr>
            <a:endParaRPr lang="fr-FR"/>
          </a:p>
        </c:txPr>
        <c:crossAx val="61050880"/>
        <c:crosses val="autoZero"/>
        <c:auto val="1"/>
        <c:lblAlgn val="ctr"/>
        <c:lblOffset val="100"/>
      </c:catAx>
      <c:valAx>
        <c:axId val="61050880"/>
        <c:scaling>
          <c:orientation val="minMax"/>
          <c:max val="9"/>
          <c:min val="5.5"/>
        </c:scaling>
        <c:axPos val="l"/>
        <c:title>
          <c:tx>
            <c:rich>
              <a:bodyPr rot="-5400000" vert="horz"/>
              <a:lstStyle/>
              <a:p>
                <a:pPr>
                  <a:defRPr/>
                </a:pPr>
                <a:r>
                  <a:rPr lang="en-US"/>
                  <a:t>log UFC/ml</a:t>
                </a:r>
              </a:p>
            </c:rich>
          </c:tx>
          <c:layout/>
        </c:title>
        <c:numFmt formatCode="General" sourceLinked="1"/>
        <c:tickLblPos val="nextTo"/>
        <c:spPr>
          <a:ln w="9525">
            <a:solidFill>
              <a:schemeClr val="tx1"/>
            </a:solidFill>
          </a:ln>
        </c:spPr>
        <c:txPr>
          <a:bodyPr/>
          <a:lstStyle/>
          <a:p>
            <a:pPr>
              <a:defRPr b="1" i="0" baseline="0"/>
            </a:pPr>
            <a:endParaRPr lang="fr-FR"/>
          </a:p>
        </c:txPr>
        <c:crossAx val="61048704"/>
        <c:crosses val="autoZero"/>
        <c:crossBetween val="midCat"/>
      </c:valAx>
    </c:plotArea>
    <c:plotVisOnly val="1"/>
    <c:dispBlanksAs val="gap"/>
  </c:chart>
  <c:spPr>
    <a:ln>
      <a:solidFill>
        <a:schemeClr val="bg1"/>
      </a:solidFill>
    </a:ln>
  </c:spPr>
  <c:txPr>
    <a:bodyPr/>
    <a:lstStyle/>
    <a:p>
      <a:pPr>
        <a:defRPr>
          <a:latin typeface="Times New Roman" pitchFamily="18" charset="0"/>
          <a:cs typeface="Times New Roman" pitchFamily="18" charset="0"/>
        </a:defRPr>
      </a:pPr>
      <a:endParaRPr lang="fr-FR"/>
    </a:p>
  </c:txPr>
  <c:externalData r:id="rId1"/>
  <c:userShapes r:id="rId2"/>
</c:chartSpace>
</file>

<file path=word/charts/chart29.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a:pPr>
            <a:r>
              <a:rPr lang="fr-FR" b="0">
                <a:latin typeface="Times New Roman" pitchFamily="18" charset="0"/>
                <a:cs typeface="Times New Roman" pitchFamily="18" charset="0"/>
              </a:rPr>
              <a:t>B</a:t>
            </a:r>
          </a:p>
        </c:rich>
      </c:tx>
      <c:layout>
        <c:manualLayout>
          <c:xMode val="edge"/>
          <c:yMode val="edge"/>
          <c:x val="2.9464660112752069E-3"/>
          <c:y val="1.1904761904761921E-2"/>
        </c:manualLayout>
      </c:layout>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25807702785092557"/>
          <c:y val="0.14004605556380947"/>
          <c:w val="0.6623828734752476"/>
          <c:h val="0.64938245926806315"/>
        </c:manualLayout>
      </c:layout>
      <c:lineChart>
        <c:grouping val="standard"/>
        <c:ser>
          <c:idx val="0"/>
          <c:order val="0"/>
          <c:tx>
            <c:strRef>
              <c:f>Sheet2!$B$47</c:f>
              <c:strCache>
                <c:ptCount val="1"/>
                <c:pt idx="0">
                  <c:v>1 (Temoin)</c:v>
                </c:pt>
              </c:strCache>
            </c:strRef>
          </c:tx>
          <c:spPr>
            <a:ln w="12700"/>
          </c:spPr>
          <c:errBars>
            <c:errDir val="y"/>
            <c:errBarType val="both"/>
            <c:errValType val="cust"/>
            <c:plus>
              <c:numRef>
                <c:f>Sheet1!$I$21:$M$21</c:f>
                <c:numCache>
                  <c:formatCode>General</c:formatCode>
                  <c:ptCount val="5"/>
                  <c:pt idx="0">
                    <c:v>2.5999999999999999E-2</c:v>
                  </c:pt>
                  <c:pt idx="1">
                    <c:v>3.7999999999999999E-2</c:v>
                  </c:pt>
                  <c:pt idx="2">
                    <c:v>3.3000000000000002E-2</c:v>
                  </c:pt>
                  <c:pt idx="3">
                    <c:v>3.3000000000000002E-2</c:v>
                  </c:pt>
                  <c:pt idx="4">
                    <c:v>2.0000000000000011E-2</c:v>
                  </c:pt>
                </c:numCache>
              </c:numRef>
            </c:plus>
            <c:minus>
              <c:numRef>
                <c:f>Sheet1!$I$21:$M$21</c:f>
                <c:numCache>
                  <c:formatCode>General</c:formatCode>
                  <c:ptCount val="5"/>
                  <c:pt idx="0">
                    <c:v>2.5999999999999999E-2</c:v>
                  </c:pt>
                  <c:pt idx="1">
                    <c:v>3.7999999999999999E-2</c:v>
                  </c:pt>
                  <c:pt idx="2">
                    <c:v>3.3000000000000002E-2</c:v>
                  </c:pt>
                  <c:pt idx="3">
                    <c:v>3.3000000000000002E-2</c:v>
                  </c:pt>
                  <c:pt idx="4">
                    <c:v>2.0000000000000011E-2</c:v>
                  </c:pt>
                </c:numCache>
              </c:numRef>
            </c:minus>
          </c:errBars>
          <c:cat>
            <c:strRef>
              <c:f>Sheet2!$A$48:$A$51</c:f>
              <c:strCache>
                <c:ptCount val="4"/>
                <c:pt idx="0">
                  <c:v>T0</c:v>
                </c:pt>
                <c:pt idx="1">
                  <c:v>T1</c:v>
                </c:pt>
                <c:pt idx="2">
                  <c:v>T2</c:v>
                </c:pt>
                <c:pt idx="3">
                  <c:v> T3</c:v>
                </c:pt>
              </c:strCache>
            </c:strRef>
          </c:cat>
          <c:val>
            <c:numRef>
              <c:f>Sheet2!$B$48:$B$51</c:f>
              <c:numCache>
                <c:formatCode>General</c:formatCode>
                <c:ptCount val="4"/>
                <c:pt idx="0">
                  <c:v>5.95</c:v>
                </c:pt>
                <c:pt idx="1">
                  <c:v>6.9700000000000024</c:v>
                </c:pt>
                <c:pt idx="2">
                  <c:v>7.74</c:v>
                </c:pt>
                <c:pt idx="3">
                  <c:v>8.27</c:v>
                </c:pt>
              </c:numCache>
            </c:numRef>
          </c:val>
        </c:ser>
        <c:ser>
          <c:idx val="1"/>
          <c:order val="1"/>
          <c:tx>
            <c:strRef>
              <c:f>Sheet2!$C$47</c:f>
              <c:strCache>
                <c:ptCount val="1"/>
                <c:pt idx="0">
                  <c:v>2 (Lactoserum)</c:v>
                </c:pt>
              </c:strCache>
            </c:strRef>
          </c:tx>
          <c:spPr>
            <a:ln w="12700">
              <a:solidFill>
                <a:srgbClr val="FF9900"/>
              </a:solidFill>
            </a:ln>
          </c:spPr>
          <c:marker>
            <c:spPr>
              <a:solidFill>
                <a:srgbClr val="FF9900"/>
              </a:solidFill>
              <a:ln>
                <a:solidFill>
                  <a:srgbClr val="FF9900"/>
                </a:solidFill>
              </a:ln>
            </c:spPr>
          </c:marker>
          <c:errBars>
            <c:errDir val="y"/>
            <c:errBarType val="both"/>
            <c:errValType val="cust"/>
            <c:plus>
              <c:numRef>
                <c:f>Sheet1!$I$22:$M$22</c:f>
                <c:numCache>
                  <c:formatCode>General</c:formatCode>
                  <c:ptCount val="5"/>
                  <c:pt idx="0">
                    <c:v>3.1000000000000052E-2</c:v>
                  </c:pt>
                  <c:pt idx="1">
                    <c:v>2.4E-2</c:v>
                  </c:pt>
                  <c:pt idx="2">
                    <c:v>3.2000000000000042E-2</c:v>
                  </c:pt>
                  <c:pt idx="3">
                    <c:v>3.4000000000000002E-2</c:v>
                  </c:pt>
                  <c:pt idx="4">
                    <c:v>2.1999999999999999E-2</c:v>
                  </c:pt>
                </c:numCache>
              </c:numRef>
            </c:plus>
            <c:minus>
              <c:numRef>
                <c:f>Sheet1!$I$22:$M$22</c:f>
                <c:numCache>
                  <c:formatCode>General</c:formatCode>
                  <c:ptCount val="5"/>
                  <c:pt idx="0">
                    <c:v>3.1000000000000052E-2</c:v>
                  </c:pt>
                  <c:pt idx="1">
                    <c:v>2.4E-2</c:v>
                  </c:pt>
                  <c:pt idx="2">
                    <c:v>3.2000000000000042E-2</c:v>
                  </c:pt>
                  <c:pt idx="3">
                    <c:v>3.4000000000000002E-2</c:v>
                  </c:pt>
                  <c:pt idx="4">
                    <c:v>2.1999999999999999E-2</c:v>
                  </c:pt>
                </c:numCache>
              </c:numRef>
            </c:minus>
          </c:errBars>
          <c:cat>
            <c:strRef>
              <c:f>Sheet2!$A$48:$A$51</c:f>
              <c:strCache>
                <c:ptCount val="4"/>
                <c:pt idx="0">
                  <c:v>T0</c:v>
                </c:pt>
                <c:pt idx="1">
                  <c:v>T1</c:v>
                </c:pt>
                <c:pt idx="2">
                  <c:v>T2</c:v>
                </c:pt>
                <c:pt idx="3">
                  <c:v> T3</c:v>
                </c:pt>
              </c:strCache>
            </c:strRef>
          </c:cat>
          <c:val>
            <c:numRef>
              <c:f>Sheet2!$C$48:$C$51</c:f>
              <c:numCache>
                <c:formatCode>General</c:formatCode>
                <c:ptCount val="4"/>
                <c:pt idx="0">
                  <c:v>5.9700000000000024</c:v>
                </c:pt>
                <c:pt idx="1">
                  <c:v>7.4</c:v>
                </c:pt>
                <c:pt idx="2">
                  <c:v>8.15</c:v>
                </c:pt>
                <c:pt idx="3">
                  <c:v>9.07</c:v>
                </c:pt>
              </c:numCache>
            </c:numRef>
          </c:val>
        </c:ser>
        <c:ser>
          <c:idx val="2"/>
          <c:order val="2"/>
          <c:tx>
            <c:strRef>
              <c:f>Sheet2!$D$47</c:f>
              <c:strCache>
                <c:ptCount val="1"/>
                <c:pt idx="0">
                  <c:v>3 (Promilk)</c:v>
                </c:pt>
              </c:strCache>
            </c:strRef>
          </c:tx>
          <c:spPr>
            <a:ln w="12700">
              <a:solidFill>
                <a:srgbClr val="92D050"/>
              </a:solidFill>
            </a:ln>
          </c:spPr>
          <c:marker>
            <c:spPr>
              <a:solidFill>
                <a:srgbClr val="92D050"/>
              </a:solidFill>
              <a:ln>
                <a:solidFill>
                  <a:srgbClr val="92D050"/>
                </a:solidFill>
              </a:ln>
            </c:spPr>
          </c:marker>
          <c:errBars>
            <c:errDir val="y"/>
            <c:errBarType val="both"/>
            <c:errValType val="cust"/>
            <c:plus>
              <c:numRef>
                <c:f>Sheet1!$I$23:$M$23</c:f>
                <c:numCache>
                  <c:formatCode>General</c:formatCode>
                  <c:ptCount val="5"/>
                  <c:pt idx="0">
                    <c:v>2.3E-2</c:v>
                  </c:pt>
                  <c:pt idx="1">
                    <c:v>3.500000000000001E-2</c:v>
                  </c:pt>
                  <c:pt idx="2">
                    <c:v>2.1999999999999999E-2</c:v>
                  </c:pt>
                  <c:pt idx="3">
                    <c:v>3.500000000000001E-2</c:v>
                  </c:pt>
                  <c:pt idx="4">
                    <c:v>3.3000000000000002E-2</c:v>
                  </c:pt>
                </c:numCache>
              </c:numRef>
            </c:plus>
            <c:minus>
              <c:numRef>
                <c:f>Sheet1!$I$23:$M$23</c:f>
                <c:numCache>
                  <c:formatCode>General</c:formatCode>
                  <c:ptCount val="5"/>
                  <c:pt idx="0">
                    <c:v>2.3E-2</c:v>
                  </c:pt>
                  <c:pt idx="1">
                    <c:v>3.500000000000001E-2</c:v>
                  </c:pt>
                  <c:pt idx="2">
                    <c:v>2.1999999999999999E-2</c:v>
                  </c:pt>
                  <c:pt idx="3">
                    <c:v>3.500000000000001E-2</c:v>
                  </c:pt>
                  <c:pt idx="4">
                    <c:v>3.3000000000000002E-2</c:v>
                  </c:pt>
                </c:numCache>
              </c:numRef>
            </c:minus>
          </c:errBars>
          <c:cat>
            <c:strRef>
              <c:f>Sheet2!$A$48:$A$51</c:f>
              <c:strCache>
                <c:ptCount val="4"/>
                <c:pt idx="0">
                  <c:v>T0</c:v>
                </c:pt>
                <c:pt idx="1">
                  <c:v>T1</c:v>
                </c:pt>
                <c:pt idx="2">
                  <c:v>T2</c:v>
                </c:pt>
                <c:pt idx="3">
                  <c:v> T3</c:v>
                </c:pt>
              </c:strCache>
            </c:strRef>
          </c:cat>
          <c:val>
            <c:numRef>
              <c:f>Sheet2!$D$48:$D$51</c:f>
              <c:numCache>
                <c:formatCode>General</c:formatCode>
                <c:ptCount val="4"/>
                <c:pt idx="0">
                  <c:v>5.9700000000000024</c:v>
                </c:pt>
                <c:pt idx="1">
                  <c:v>7.13</c:v>
                </c:pt>
                <c:pt idx="2">
                  <c:v>7.96</c:v>
                </c:pt>
                <c:pt idx="3">
                  <c:v>8.7200000000000006</c:v>
                </c:pt>
              </c:numCache>
            </c:numRef>
          </c:val>
        </c:ser>
        <c:ser>
          <c:idx val="3"/>
          <c:order val="3"/>
          <c:tx>
            <c:strRef>
              <c:f>Sheet2!$E$47</c:f>
              <c:strCache>
                <c:ptCount val="1"/>
                <c:pt idx="0">
                  <c:v>4 (H. Caseine)</c:v>
                </c:pt>
              </c:strCache>
            </c:strRef>
          </c:tx>
          <c:spPr>
            <a:ln w="12700">
              <a:solidFill>
                <a:srgbClr val="990099"/>
              </a:solidFill>
            </a:ln>
          </c:spPr>
          <c:marker>
            <c:spPr>
              <a:solidFill>
                <a:srgbClr val="990099"/>
              </a:solidFill>
              <a:ln>
                <a:solidFill>
                  <a:srgbClr val="990099"/>
                </a:solidFill>
              </a:ln>
            </c:spPr>
          </c:marker>
          <c:errBars>
            <c:errDir val="y"/>
            <c:errBarType val="both"/>
            <c:errValType val="cust"/>
            <c:plus>
              <c:numRef>
                <c:f>Sheet1!$I$24:$M$24</c:f>
                <c:numCache>
                  <c:formatCode>General</c:formatCode>
                  <c:ptCount val="5"/>
                  <c:pt idx="0">
                    <c:v>4.3000000000000003E-2</c:v>
                  </c:pt>
                  <c:pt idx="1">
                    <c:v>3.7999999999999999E-2</c:v>
                  </c:pt>
                  <c:pt idx="2">
                    <c:v>3.9000000000000014E-2</c:v>
                  </c:pt>
                  <c:pt idx="3">
                    <c:v>2.5999999999999999E-2</c:v>
                  </c:pt>
                  <c:pt idx="4">
                    <c:v>3.2000000000000042E-2</c:v>
                  </c:pt>
                </c:numCache>
              </c:numRef>
            </c:plus>
            <c:minus>
              <c:numRef>
                <c:f>Sheet1!$I$24:$M$24</c:f>
                <c:numCache>
                  <c:formatCode>General</c:formatCode>
                  <c:ptCount val="5"/>
                  <c:pt idx="0">
                    <c:v>4.3000000000000003E-2</c:v>
                  </c:pt>
                  <c:pt idx="1">
                    <c:v>3.7999999999999999E-2</c:v>
                  </c:pt>
                  <c:pt idx="2">
                    <c:v>3.9000000000000014E-2</c:v>
                  </c:pt>
                  <c:pt idx="3">
                    <c:v>2.5999999999999999E-2</c:v>
                  </c:pt>
                  <c:pt idx="4">
                    <c:v>3.2000000000000042E-2</c:v>
                  </c:pt>
                </c:numCache>
              </c:numRef>
            </c:minus>
          </c:errBars>
          <c:cat>
            <c:strRef>
              <c:f>Sheet2!$A$48:$A$51</c:f>
              <c:strCache>
                <c:ptCount val="4"/>
                <c:pt idx="0">
                  <c:v>T0</c:v>
                </c:pt>
                <c:pt idx="1">
                  <c:v>T1</c:v>
                </c:pt>
                <c:pt idx="2">
                  <c:v>T2</c:v>
                </c:pt>
                <c:pt idx="3">
                  <c:v> T3</c:v>
                </c:pt>
              </c:strCache>
            </c:strRef>
          </c:cat>
          <c:val>
            <c:numRef>
              <c:f>Sheet2!$E$48:$E$51</c:f>
              <c:numCache>
                <c:formatCode>General</c:formatCode>
                <c:ptCount val="4"/>
                <c:pt idx="0">
                  <c:v>5.9700000000000024</c:v>
                </c:pt>
                <c:pt idx="1">
                  <c:v>7.23</c:v>
                </c:pt>
                <c:pt idx="2">
                  <c:v>8.09</c:v>
                </c:pt>
                <c:pt idx="3">
                  <c:v>8.81</c:v>
                </c:pt>
              </c:numCache>
            </c:numRef>
          </c:val>
        </c:ser>
        <c:ser>
          <c:idx val="4"/>
          <c:order val="4"/>
          <c:tx>
            <c:strRef>
              <c:f>Sheet2!$F$47</c:f>
              <c:strCache>
                <c:ptCount val="1"/>
                <c:pt idx="0">
                  <c:v>5 (H. Proteine)</c:v>
                </c:pt>
              </c:strCache>
            </c:strRef>
          </c:tx>
          <c:spPr>
            <a:ln w="12700">
              <a:solidFill>
                <a:srgbClr val="FF33CC"/>
              </a:solidFill>
            </a:ln>
          </c:spPr>
          <c:marker>
            <c:symbol val="circle"/>
            <c:size val="4"/>
            <c:spPr>
              <a:solidFill>
                <a:srgbClr val="FF33CC"/>
              </a:solidFill>
              <a:ln>
                <a:solidFill>
                  <a:srgbClr val="FF33CC"/>
                </a:solidFill>
              </a:ln>
            </c:spPr>
          </c:marker>
          <c:cat>
            <c:strRef>
              <c:f>Sheet2!$A$48:$A$51</c:f>
              <c:strCache>
                <c:ptCount val="4"/>
                <c:pt idx="0">
                  <c:v>T0</c:v>
                </c:pt>
                <c:pt idx="1">
                  <c:v>T1</c:v>
                </c:pt>
                <c:pt idx="2">
                  <c:v>T2</c:v>
                </c:pt>
                <c:pt idx="3">
                  <c:v> T3</c:v>
                </c:pt>
              </c:strCache>
            </c:strRef>
          </c:cat>
          <c:val>
            <c:numRef>
              <c:f>Sheet2!$F$48:$F$51</c:f>
              <c:numCache>
                <c:formatCode>General</c:formatCode>
                <c:ptCount val="4"/>
                <c:pt idx="0">
                  <c:v>5.9700000000000024</c:v>
                </c:pt>
                <c:pt idx="1">
                  <c:v>7.3599999999999985</c:v>
                </c:pt>
                <c:pt idx="2">
                  <c:v>8.15</c:v>
                </c:pt>
                <c:pt idx="3">
                  <c:v>9.1</c:v>
                </c:pt>
              </c:numCache>
            </c:numRef>
          </c:val>
        </c:ser>
        <c:marker val="1"/>
        <c:axId val="68411392"/>
        <c:axId val="68413696"/>
      </c:lineChart>
      <c:catAx>
        <c:axId val="68411392"/>
        <c:scaling>
          <c:orientation val="minMax"/>
        </c:scaling>
        <c:axPos val="b"/>
        <c:title>
          <c:tx>
            <c:rich>
              <a:bodyPr/>
              <a:lstStyle/>
              <a:p>
                <a:pPr>
                  <a:defRPr>
                    <a:latin typeface="Times New Roman" pitchFamily="18" charset="0"/>
                    <a:cs typeface="Times New Roman" pitchFamily="18" charset="0"/>
                  </a:defRPr>
                </a:pPr>
                <a:r>
                  <a:rPr lang="en-US">
                    <a:latin typeface="Times New Roman" pitchFamily="18" charset="0"/>
                    <a:cs typeface="Times New Roman" pitchFamily="18" charset="0"/>
                  </a:rPr>
                  <a:t>Temps (h)</a:t>
                </a:r>
              </a:p>
            </c:rich>
          </c:tx>
          <c:layout>
            <c:manualLayout>
              <c:xMode val="edge"/>
              <c:yMode val="edge"/>
              <c:x val="0.42373573125844488"/>
              <c:y val="0.91369047619047961"/>
            </c:manualLayout>
          </c:layout>
        </c:title>
        <c:numFmt formatCode="General" sourceLinked="1"/>
        <c:tickLblPos val="nextTo"/>
        <c:spPr>
          <a:ln w="9525">
            <a:solidFill>
              <a:schemeClr val="tx1"/>
            </a:solidFill>
          </a:ln>
        </c:spPr>
        <c:txPr>
          <a:bodyPr/>
          <a:lstStyle/>
          <a:p>
            <a:pPr>
              <a:defRPr b="1" i="0" baseline="0"/>
            </a:pPr>
            <a:endParaRPr lang="fr-FR"/>
          </a:p>
        </c:txPr>
        <c:crossAx val="68413696"/>
        <c:crosses val="autoZero"/>
        <c:auto val="1"/>
        <c:lblAlgn val="ctr"/>
        <c:lblOffset val="100"/>
      </c:catAx>
      <c:valAx>
        <c:axId val="68413696"/>
        <c:scaling>
          <c:orientation val="minMax"/>
          <c:max val="9.5"/>
          <c:min val="5.5"/>
        </c:scaling>
        <c:axPos val="l"/>
        <c:title>
          <c:tx>
            <c:rich>
              <a:bodyPr rot="-5400000" vert="horz"/>
              <a:lstStyle/>
              <a:p>
                <a:pPr>
                  <a:defRPr>
                    <a:latin typeface="Times New Roman" pitchFamily="18" charset="0"/>
                    <a:cs typeface="Times New Roman" pitchFamily="18" charset="0"/>
                  </a:defRPr>
                </a:pPr>
                <a:r>
                  <a:rPr lang="en-US">
                    <a:latin typeface="Times New Roman" pitchFamily="18" charset="0"/>
                    <a:cs typeface="Times New Roman" pitchFamily="18" charset="0"/>
                  </a:rPr>
                  <a:t>log UFC/ml</a:t>
                </a:r>
              </a:p>
            </c:rich>
          </c:tx>
          <c:layout/>
        </c:title>
        <c:numFmt formatCode="General" sourceLinked="1"/>
        <c:tickLblPos val="nextTo"/>
        <c:spPr>
          <a:ln w="9525">
            <a:solidFill>
              <a:schemeClr val="tx1"/>
            </a:solidFill>
          </a:ln>
        </c:spPr>
        <c:txPr>
          <a:bodyPr/>
          <a:lstStyle/>
          <a:p>
            <a:pPr>
              <a:defRPr b="1" i="0" baseline="0"/>
            </a:pPr>
            <a:endParaRPr lang="fr-FR"/>
          </a:p>
        </c:txPr>
        <c:crossAx val="68411392"/>
        <c:crosses val="autoZero"/>
        <c:crossBetween val="midCat"/>
        <c:majorUnit val="0.5"/>
      </c:valAx>
    </c:plotArea>
    <c:plotVisOnly val="1"/>
    <c:dispBlanksAs val="gap"/>
  </c:chart>
  <c:spPr>
    <a:ln>
      <a:solidFill>
        <a:schemeClr val="bg1"/>
      </a:solidFill>
    </a:ln>
  </c:spPr>
  <c:externalData r:id="rId1"/>
  <c:userShapes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a:pPr>
            <a:r>
              <a:rPr lang="fr-FR" sz="1800"/>
              <a:t>D</a:t>
            </a:r>
          </a:p>
        </c:rich>
      </c:tx>
      <c:layout>
        <c:manualLayout>
          <c:xMode val="edge"/>
          <c:yMode val="edge"/>
          <c:x val="0"/>
          <c:y val="0"/>
        </c:manualLayout>
      </c:layout>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23594444444444498"/>
          <c:y val="0.14719312259880571"/>
          <c:w val="0.69302304677668713"/>
          <c:h val="0.66558028072577879"/>
        </c:manualLayout>
      </c:layout>
      <c:lineChart>
        <c:grouping val="standard"/>
        <c:ser>
          <c:idx val="0"/>
          <c:order val="0"/>
          <c:tx>
            <c:strRef>
              <c:f>Sheet1!$B$20</c:f>
              <c:strCache>
                <c:ptCount val="1"/>
                <c:pt idx="0">
                  <c:v>1 (Temoin)</c:v>
                </c:pt>
              </c:strCache>
            </c:strRef>
          </c:tx>
          <c:spPr>
            <a:ln w="12700"/>
          </c:spPr>
          <c:errBars>
            <c:errDir val="y"/>
            <c:errBarType val="both"/>
            <c:errValType val="cust"/>
            <c:plus>
              <c:numRef>
                <c:f>Sheet1!$I$21:$M$21</c:f>
                <c:numCache>
                  <c:formatCode>General</c:formatCode>
                  <c:ptCount val="5"/>
                  <c:pt idx="0">
                    <c:v>2.4E-2</c:v>
                  </c:pt>
                  <c:pt idx="1">
                    <c:v>2.4E-2</c:v>
                  </c:pt>
                  <c:pt idx="2">
                    <c:v>2.4E-2</c:v>
                  </c:pt>
                  <c:pt idx="3">
                    <c:v>2.9000000000000001E-2</c:v>
                  </c:pt>
                  <c:pt idx="4">
                    <c:v>3.3000000000000002E-2</c:v>
                  </c:pt>
                </c:numCache>
              </c:numRef>
            </c:plus>
            <c:minus>
              <c:numRef>
                <c:f>Sheet1!$I$21:$M$21</c:f>
                <c:numCache>
                  <c:formatCode>General</c:formatCode>
                  <c:ptCount val="5"/>
                  <c:pt idx="0">
                    <c:v>2.4E-2</c:v>
                  </c:pt>
                  <c:pt idx="1">
                    <c:v>2.4E-2</c:v>
                  </c:pt>
                  <c:pt idx="2">
                    <c:v>2.4E-2</c:v>
                  </c:pt>
                  <c:pt idx="3">
                    <c:v>2.9000000000000001E-2</c:v>
                  </c:pt>
                  <c:pt idx="4">
                    <c:v>3.3000000000000002E-2</c:v>
                  </c:pt>
                </c:numCache>
              </c:numRef>
            </c:minus>
          </c:errBars>
          <c:cat>
            <c:strRef>
              <c:f>Sheet1!$A$21:$A$24</c:f>
              <c:strCache>
                <c:ptCount val="4"/>
                <c:pt idx="0">
                  <c:v>T0</c:v>
                </c:pt>
                <c:pt idx="1">
                  <c:v>T1</c:v>
                </c:pt>
                <c:pt idx="2">
                  <c:v>T2</c:v>
                </c:pt>
                <c:pt idx="3">
                  <c:v>T3</c:v>
                </c:pt>
              </c:strCache>
            </c:strRef>
          </c:cat>
          <c:val>
            <c:numRef>
              <c:f>Sheet1!$B$21:$B$24</c:f>
              <c:numCache>
                <c:formatCode>General</c:formatCode>
                <c:ptCount val="4"/>
                <c:pt idx="0">
                  <c:v>6.99</c:v>
                </c:pt>
                <c:pt idx="1">
                  <c:v>7.98</c:v>
                </c:pt>
                <c:pt idx="2">
                  <c:v>8.7399999999999984</c:v>
                </c:pt>
                <c:pt idx="3">
                  <c:v>9.67</c:v>
                </c:pt>
              </c:numCache>
            </c:numRef>
          </c:val>
        </c:ser>
        <c:ser>
          <c:idx val="1"/>
          <c:order val="1"/>
          <c:tx>
            <c:strRef>
              <c:f>Sheet1!$C$20</c:f>
              <c:strCache>
                <c:ptCount val="1"/>
                <c:pt idx="0">
                  <c:v>2 (Lactoserum)</c:v>
                </c:pt>
              </c:strCache>
            </c:strRef>
          </c:tx>
          <c:spPr>
            <a:ln w="12700">
              <a:solidFill>
                <a:srgbClr val="FF9900"/>
              </a:solidFill>
            </a:ln>
          </c:spPr>
          <c:marker>
            <c:symbol val="square"/>
            <c:size val="4"/>
            <c:spPr>
              <a:solidFill>
                <a:srgbClr val="FF9900"/>
              </a:solidFill>
              <a:ln>
                <a:solidFill>
                  <a:srgbClr val="FF9900"/>
                </a:solidFill>
              </a:ln>
            </c:spPr>
          </c:marker>
          <c:errBars>
            <c:errDir val="y"/>
            <c:errBarType val="both"/>
            <c:errValType val="cust"/>
            <c:plus>
              <c:numRef>
                <c:f>Sheet1!$I$22:$M$22</c:f>
                <c:numCache>
                  <c:formatCode>General</c:formatCode>
                  <c:ptCount val="5"/>
                  <c:pt idx="0">
                    <c:v>3.3000000000000002E-2</c:v>
                  </c:pt>
                  <c:pt idx="1">
                    <c:v>4.0000000000000022E-2</c:v>
                  </c:pt>
                  <c:pt idx="2">
                    <c:v>2.3E-2</c:v>
                  </c:pt>
                  <c:pt idx="3">
                    <c:v>2.7000000000000145E-2</c:v>
                  </c:pt>
                  <c:pt idx="4">
                    <c:v>1.90000000000001E-2</c:v>
                  </c:pt>
                </c:numCache>
              </c:numRef>
            </c:plus>
            <c:minus>
              <c:numRef>
                <c:f>Sheet1!$I$22:$M$22</c:f>
                <c:numCache>
                  <c:formatCode>General</c:formatCode>
                  <c:ptCount val="5"/>
                  <c:pt idx="0">
                    <c:v>3.3000000000000002E-2</c:v>
                  </c:pt>
                  <c:pt idx="1">
                    <c:v>4.0000000000000022E-2</c:v>
                  </c:pt>
                  <c:pt idx="2">
                    <c:v>2.3E-2</c:v>
                  </c:pt>
                  <c:pt idx="3">
                    <c:v>2.7000000000000145E-2</c:v>
                  </c:pt>
                  <c:pt idx="4">
                    <c:v>1.90000000000001E-2</c:v>
                  </c:pt>
                </c:numCache>
              </c:numRef>
            </c:minus>
          </c:errBars>
          <c:cat>
            <c:strRef>
              <c:f>Sheet1!$A$21:$A$24</c:f>
              <c:strCache>
                <c:ptCount val="4"/>
                <c:pt idx="0">
                  <c:v>T0</c:v>
                </c:pt>
                <c:pt idx="1">
                  <c:v>T1</c:v>
                </c:pt>
                <c:pt idx="2">
                  <c:v>T2</c:v>
                </c:pt>
                <c:pt idx="3">
                  <c:v>T3</c:v>
                </c:pt>
              </c:strCache>
            </c:strRef>
          </c:cat>
          <c:val>
            <c:numRef>
              <c:f>Sheet1!$C$21:$C$24</c:f>
              <c:numCache>
                <c:formatCode>General</c:formatCode>
                <c:ptCount val="4"/>
                <c:pt idx="0">
                  <c:v>6.96</c:v>
                </c:pt>
                <c:pt idx="1">
                  <c:v>8.57</c:v>
                </c:pt>
                <c:pt idx="2">
                  <c:v>9.44</c:v>
                </c:pt>
                <c:pt idx="3">
                  <c:v>10.62</c:v>
                </c:pt>
              </c:numCache>
            </c:numRef>
          </c:val>
        </c:ser>
        <c:ser>
          <c:idx val="2"/>
          <c:order val="2"/>
          <c:tx>
            <c:strRef>
              <c:f>Sheet1!$D$20</c:f>
              <c:strCache>
                <c:ptCount val="1"/>
                <c:pt idx="0">
                  <c:v>3 (Promilk)</c:v>
                </c:pt>
              </c:strCache>
            </c:strRef>
          </c:tx>
          <c:spPr>
            <a:ln w="12700">
              <a:solidFill>
                <a:srgbClr val="92D050"/>
              </a:solidFill>
            </a:ln>
          </c:spPr>
          <c:marker>
            <c:spPr>
              <a:solidFill>
                <a:srgbClr val="92D050"/>
              </a:solidFill>
              <a:ln>
                <a:solidFill>
                  <a:srgbClr val="92D050"/>
                </a:solidFill>
              </a:ln>
            </c:spPr>
          </c:marker>
          <c:errBars>
            <c:errDir val="y"/>
            <c:errBarType val="both"/>
            <c:errValType val="cust"/>
            <c:plus>
              <c:numRef>
                <c:f>Sheet1!$I$23:$M$23</c:f>
                <c:numCache>
                  <c:formatCode>General</c:formatCode>
                  <c:ptCount val="5"/>
                  <c:pt idx="0">
                    <c:v>3.3000000000000002E-2</c:v>
                  </c:pt>
                  <c:pt idx="1">
                    <c:v>2.9000000000000001E-2</c:v>
                  </c:pt>
                  <c:pt idx="2">
                    <c:v>2.5999999999999999E-2</c:v>
                  </c:pt>
                  <c:pt idx="3">
                    <c:v>3.1000000000000052E-2</c:v>
                  </c:pt>
                  <c:pt idx="4">
                    <c:v>2.4E-2</c:v>
                  </c:pt>
                </c:numCache>
              </c:numRef>
            </c:plus>
            <c:minus>
              <c:numRef>
                <c:f>Sheet1!$I$23:$M$23</c:f>
                <c:numCache>
                  <c:formatCode>General</c:formatCode>
                  <c:ptCount val="5"/>
                  <c:pt idx="0">
                    <c:v>3.3000000000000002E-2</c:v>
                  </c:pt>
                  <c:pt idx="1">
                    <c:v>2.9000000000000001E-2</c:v>
                  </c:pt>
                  <c:pt idx="2">
                    <c:v>2.5999999999999999E-2</c:v>
                  </c:pt>
                  <c:pt idx="3">
                    <c:v>3.1000000000000052E-2</c:v>
                  </c:pt>
                  <c:pt idx="4">
                    <c:v>2.4E-2</c:v>
                  </c:pt>
                </c:numCache>
              </c:numRef>
            </c:minus>
          </c:errBars>
          <c:cat>
            <c:strRef>
              <c:f>Sheet1!$A$21:$A$24</c:f>
              <c:strCache>
                <c:ptCount val="4"/>
                <c:pt idx="0">
                  <c:v>T0</c:v>
                </c:pt>
                <c:pt idx="1">
                  <c:v>T1</c:v>
                </c:pt>
                <c:pt idx="2">
                  <c:v>T2</c:v>
                </c:pt>
                <c:pt idx="3">
                  <c:v>T3</c:v>
                </c:pt>
              </c:strCache>
            </c:strRef>
          </c:cat>
          <c:val>
            <c:numRef>
              <c:f>Sheet1!$D$21:$D$24</c:f>
              <c:numCache>
                <c:formatCode>General</c:formatCode>
                <c:ptCount val="4"/>
                <c:pt idx="0">
                  <c:v>6.99</c:v>
                </c:pt>
                <c:pt idx="1">
                  <c:v>8.26</c:v>
                </c:pt>
                <c:pt idx="2">
                  <c:v>9.06</c:v>
                </c:pt>
                <c:pt idx="3">
                  <c:v>9.89</c:v>
                </c:pt>
              </c:numCache>
            </c:numRef>
          </c:val>
        </c:ser>
        <c:ser>
          <c:idx val="3"/>
          <c:order val="3"/>
          <c:tx>
            <c:strRef>
              <c:f>Sheet1!$E$20</c:f>
              <c:strCache>
                <c:ptCount val="1"/>
                <c:pt idx="0">
                  <c:v>4 (H. Caseine)</c:v>
                </c:pt>
              </c:strCache>
            </c:strRef>
          </c:tx>
          <c:spPr>
            <a:ln w="12700">
              <a:solidFill>
                <a:srgbClr val="990099"/>
              </a:solidFill>
            </a:ln>
          </c:spPr>
          <c:marker>
            <c:spPr>
              <a:solidFill>
                <a:srgbClr val="990099"/>
              </a:solidFill>
              <a:ln>
                <a:solidFill>
                  <a:srgbClr val="990099"/>
                </a:solidFill>
              </a:ln>
            </c:spPr>
          </c:marker>
          <c:errBars>
            <c:errDir val="y"/>
            <c:errBarType val="both"/>
            <c:errValType val="cust"/>
            <c:plus>
              <c:numRef>
                <c:f>Sheet1!$I$24:$M$24</c:f>
                <c:numCache>
                  <c:formatCode>General</c:formatCode>
                  <c:ptCount val="5"/>
                  <c:pt idx="0">
                    <c:v>4.2000000000000023E-2</c:v>
                  </c:pt>
                  <c:pt idx="1">
                    <c:v>4.3000000000000003E-2</c:v>
                  </c:pt>
                  <c:pt idx="2">
                    <c:v>3.500000000000001E-2</c:v>
                  </c:pt>
                  <c:pt idx="3">
                    <c:v>2.5999999999999999E-2</c:v>
                  </c:pt>
                  <c:pt idx="4">
                    <c:v>2.5999999999999999E-2</c:v>
                  </c:pt>
                </c:numCache>
              </c:numRef>
            </c:plus>
            <c:minus>
              <c:numRef>
                <c:f>Sheet1!$I$24:$M$24</c:f>
                <c:numCache>
                  <c:formatCode>General</c:formatCode>
                  <c:ptCount val="5"/>
                  <c:pt idx="0">
                    <c:v>4.2000000000000023E-2</c:v>
                  </c:pt>
                  <c:pt idx="1">
                    <c:v>4.3000000000000003E-2</c:v>
                  </c:pt>
                  <c:pt idx="2">
                    <c:v>3.500000000000001E-2</c:v>
                  </c:pt>
                  <c:pt idx="3">
                    <c:v>2.5999999999999999E-2</c:v>
                  </c:pt>
                  <c:pt idx="4">
                    <c:v>2.5999999999999999E-2</c:v>
                  </c:pt>
                </c:numCache>
              </c:numRef>
            </c:minus>
          </c:errBars>
          <c:cat>
            <c:strRef>
              <c:f>Sheet1!$A$21:$A$24</c:f>
              <c:strCache>
                <c:ptCount val="4"/>
                <c:pt idx="0">
                  <c:v>T0</c:v>
                </c:pt>
                <c:pt idx="1">
                  <c:v>T1</c:v>
                </c:pt>
                <c:pt idx="2">
                  <c:v>T2</c:v>
                </c:pt>
                <c:pt idx="3">
                  <c:v>T3</c:v>
                </c:pt>
              </c:strCache>
            </c:strRef>
          </c:cat>
          <c:val>
            <c:numRef>
              <c:f>Sheet1!$E$21:$E$24</c:f>
              <c:numCache>
                <c:formatCode>General</c:formatCode>
                <c:ptCount val="4"/>
                <c:pt idx="0">
                  <c:v>6.98</c:v>
                </c:pt>
                <c:pt idx="1">
                  <c:v>8.17</c:v>
                </c:pt>
                <c:pt idx="2">
                  <c:v>9.120000000000001</c:v>
                </c:pt>
                <c:pt idx="3">
                  <c:v>10.139999999999999</c:v>
                </c:pt>
              </c:numCache>
            </c:numRef>
          </c:val>
        </c:ser>
        <c:ser>
          <c:idx val="4"/>
          <c:order val="4"/>
          <c:tx>
            <c:strRef>
              <c:f>Sheet1!$F$20</c:f>
              <c:strCache>
                <c:ptCount val="1"/>
                <c:pt idx="0">
                  <c:v>5 (H. Proteine)</c:v>
                </c:pt>
              </c:strCache>
            </c:strRef>
          </c:tx>
          <c:spPr>
            <a:ln w="12700">
              <a:solidFill>
                <a:srgbClr val="FF33CC"/>
              </a:solidFill>
            </a:ln>
          </c:spPr>
          <c:marker>
            <c:symbol val="circle"/>
            <c:size val="4"/>
            <c:spPr>
              <a:solidFill>
                <a:srgbClr val="FF33CC"/>
              </a:solidFill>
              <a:ln>
                <a:solidFill>
                  <a:srgbClr val="FF33CC"/>
                </a:solidFill>
              </a:ln>
            </c:spPr>
          </c:marker>
          <c:errBars>
            <c:errDir val="y"/>
            <c:errBarType val="both"/>
            <c:errValType val="cust"/>
            <c:plus>
              <c:numRef>
                <c:f>Sheet2!$M$42:$M$45</c:f>
                <c:numCache>
                  <c:formatCode>General</c:formatCode>
                  <c:ptCount val="4"/>
                  <c:pt idx="0">
                    <c:v>3.3000000000000002E-2</c:v>
                  </c:pt>
                  <c:pt idx="1">
                    <c:v>1.90000000000001E-2</c:v>
                  </c:pt>
                  <c:pt idx="2">
                    <c:v>2.4E-2</c:v>
                  </c:pt>
                  <c:pt idx="3">
                    <c:v>2.5999999999999999E-2</c:v>
                  </c:pt>
                </c:numCache>
              </c:numRef>
            </c:plus>
            <c:minus>
              <c:numRef>
                <c:f>Sheet2!$M$42:$M$45</c:f>
                <c:numCache>
                  <c:formatCode>General</c:formatCode>
                  <c:ptCount val="4"/>
                  <c:pt idx="0">
                    <c:v>3.3000000000000002E-2</c:v>
                  </c:pt>
                  <c:pt idx="1">
                    <c:v>1.90000000000001E-2</c:v>
                  </c:pt>
                  <c:pt idx="2">
                    <c:v>2.4E-2</c:v>
                  </c:pt>
                  <c:pt idx="3">
                    <c:v>2.5999999999999999E-2</c:v>
                  </c:pt>
                </c:numCache>
              </c:numRef>
            </c:minus>
            <c:spPr>
              <a:ln w="3175">
                <a:solidFill>
                  <a:srgbClr val="000000"/>
                </a:solidFill>
                <a:prstDash val="solid"/>
              </a:ln>
            </c:spPr>
          </c:errBars>
          <c:cat>
            <c:strRef>
              <c:f>Sheet1!$A$21:$A$24</c:f>
              <c:strCache>
                <c:ptCount val="4"/>
                <c:pt idx="0">
                  <c:v>T0</c:v>
                </c:pt>
                <c:pt idx="1">
                  <c:v>T1</c:v>
                </c:pt>
                <c:pt idx="2">
                  <c:v>T2</c:v>
                </c:pt>
                <c:pt idx="3">
                  <c:v>T3</c:v>
                </c:pt>
              </c:strCache>
            </c:strRef>
          </c:cat>
          <c:val>
            <c:numRef>
              <c:f>Sheet1!$F$21:$F$24</c:f>
              <c:numCache>
                <c:formatCode>General</c:formatCode>
                <c:ptCount val="4"/>
                <c:pt idx="0">
                  <c:v>6.98</c:v>
                </c:pt>
                <c:pt idx="1">
                  <c:v>8.44</c:v>
                </c:pt>
                <c:pt idx="2">
                  <c:v>9.2100000000000009</c:v>
                </c:pt>
                <c:pt idx="3">
                  <c:v>10.4</c:v>
                </c:pt>
              </c:numCache>
            </c:numRef>
          </c:val>
        </c:ser>
        <c:marker val="1"/>
        <c:axId val="54174080"/>
        <c:axId val="54176000"/>
      </c:lineChart>
      <c:catAx>
        <c:axId val="54174080"/>
        <c:scaling>
          <c:orientation val="minMax"/>
        </c:scaling>
        <c:axPos val="b"/>
        <c:title>
          <c:tx>
            <c:rich>
              <a:bodyPr/>
              <a:lstStyle/>
              <a:p>
                <a:pPr>
                  <a:defRPr b="0"/>
                </a:pPr>
                <a:r>
                  <a:rPr lang="en-US" b="1"/>
                  <a:t>Temps (h)</a:t>
                </a:r>
              </a:p>
            </c:rich>
          </c:tx>
          <c:layout>
            <c:manualLayout>
              <c:xMode val="edge"/>
              <c:yMode val="edge"/>
              <c:x val="0.39822636896415536"/>
              <c:y val="0.91824146981627297"/>
            </c:manualLayout>
          </c:layout>
        </c:title>
        <c:numFmt formatCode="General" sourceLinked="1"/>
        <c:tickLblPos val="nextTo"/>
        <c:spPr>
          <a:ln w="9525">
            <a:solidFill>
              <a:schemeClr val="tx1"/>
            </a:solidFill>
          </a:ln>
        </c:spPr>
        <c:txPr>
          <a:bodyPr rot="0" vert="horz"/>
          <a:lstStyle/>
          <a:p>
            <a:pPr>
              <a:defRPr b="1" i="0" baseline="0"/>
            </a:pPr>
            <a:endParaRPr lang="fr-FR"/>
          </a:p>
        </c:txPr>
        <c:crossAx val="54176000"/>
        <c:crosses val="autoZero"/>
        <c:auto val="1"/>
        <c:lblAlgn val="ctr"/>
        <c:lblOffset val="100"/>
      </c:catAx>
      <c:valAx>
        <c:axId val="54176000"/>
        <c:scaling>
          <c:orientation val="minMax"/>
          <c:max val="11"/>
          <c:min val="6.5"/>
        </c:scaling>
        <c:axPos val="l"/>
        <c:title>
          <c:tx>
            <c:rich>
              <a:bodyPr rot="-5400000" vert="horz"/>
              <a:lstStyle/>
              <a:p>
                <a:pPr>
                  <a:defRPr b="1"/>
                </a:pPr>
                <a:r>
                  <a:rPr lang="en-US" b="1"/>
                  <a:t>log UFC/ml</a:t>
                </a:r>
              </a:p>
            </c:rich>
          </c:tx>
          <c:layout/>
        </c:title>
        <c:numFmt formatCode="General" sourceLinked="1"/>
        <c:tickLblPos val="nextTo"/>
        <c:spPr>
          <a:ln w="9525">
            <a:solidFill>
              <a:sysClr val="windowText" lastClr="000000"/>
            </a:solidFill>
          </a:ln>
        </c:spPr>
        <c:txPr>
          <a:bodyPr rot="0" vert="horz"/>
          <a:lstStyle/>
          <a:p>
            <a:pPr>
              <a:defRPr b="1" i="0" baseline="0"/>
            </a:pPr>
            <a:endParaRPr lang="fr-FR"/>
          </a:p>
        </c:txPr>
        <c:crossAx val="54174080"/>
        <c:crosses val="autoZero"/>
        <c:crossBetween val="midCat"/>
        <c:majorUnit val="0.5"/>
      </c:valAx>
    </c:plotArea>
    <c:plotVisOnly val="1"/>
    <c:dispBlanksAs val="gap"/>
  </c:chart>
  <c:spPr>
    <a:ln>
      <a:solidFill>
        <a:schemeClr val="bg1"/>
      </a:solidFill>
    </a:ln>
  </c:spPr>
  <c:txPr>
    <a:bodyPr/>
    <a:lstStyle/>
    <a:p>
      <a:pPr>
        <a:defRPr sz="1000" b="0" i="0" u="none" strike="noStrike" baseline="0">
          <a:solidFill>
            <a:srgbClr val="000000"/>
          </a:solidFill>
          <a:latin typeface="Times New Roman" pitchFamily="18" charset="0"/>
          <a:ea typeface="Calibri"/>
          <a:cs typeface="Times New Roman" pitchFamily="18" charset="0"/>
        </a:defRPr>
      </a:pPr>
      <a:endParaRPr lang="fr-FR"/>
    </a:p>
  </c:txPr>
  <c:externalData r:id="rId1"/>
  <c:userShapes r:id="rId2"/>
</c:chartSpace>
</file>

<file path=word/charts/chart30.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a:pPr>
            <a:r>
              <a:rPr lang="fr-FR" sz="1800">
                <a:latin typeface="Times New Roman" pitchFamily="18" charset="0"/>
                <a:cs typeface="Times New Roman" pitchFamily="18" charset="0"/>
              </a:rPr>
              <a:t>A</a:t>
            </a:r>
          </a:p>
        </c:rich>
      </c:tx>
      <c:layout>
        <c:manualLayout>
          <c:xMode val="edge"/>
          <c:yMode val="edge"/>
          <c:x val="3.8722168441432748E-3"/>
          <c:y val="0"/>
        </c:manualLayout>
      </c:layout>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24957555305586801"/>
          <c:y val="0.12809523809523857"/>
          <c:w val="0.69166368119764154"/>
          <c:h val="0.6648800149981281"/>
        </c:manualLayout>
      </c:layout>
      <c:lineChart>
        <c:grouping val="standard"/>
        <c:ser>
          <c:idx val="0"/>
          <c:order val="0"/>
          <c:tx>
            <c:strRef>
              <c:f>Sheet1!$B$20</c:f>
              <c:strCache>
                <c:ptCount val="1"/>
                <c:pt idx="0">
                  <c:v>1 (Temoin)</c:v>
                </c:pt>
              </c:strCache>
            </c:strRef>
          </c:tx>
          <c:spPr>
            <a:ln w="12700"/>
          </c:spPr>
          <c:errBars>
            <c:errDir val="y"/>
            <c:errBarType val="both"/>
            <c:errValType val="cust"/>
            <c:plus>
              <c:numRef>
                <c:f>Sheet1!$I$21:$M$21</c:f>
                <c:numCache>
                  <c:formatCode>General</c:formatCode>
                  <c:ptCount val="5"/>
                  <c:pt idx="0">
                    <c:v>3.500000000000001E-2</c:v>
                  </c:pt>
                  <c:pt idx="1">
                    <c:v>3.6999999999999998E-2</c:v>
                  </c:pt>
                  <c:pt idx="2">
                    <c:v>2.5999999999999999E-2</c:v>
                  </c:pt>
                  <c:pt idx="3">
                    <c:v>2.9000000000000001E-2</c:v>
                  </c:pt>
                  <c:pt idx="4">
                    <c:v>2.5000000000000001E-2</c:v>
                  </c:pt>
                </c:numCache>
              </c:numRef>
            </c:plus>
            <c:minus>
              <c:numRef>
                <c:f>Sheet1!$I$21:$M$21</c:f>
                <c:numCache>
                  <c:formatCode>General</c:formatCode>
                  <c:ptCount val="5"/>
                  <c:pt idx="0">
                    <c:v>3.500000000000001E-2</c:v>
                  </c:pt>
                  <c:pt idx="1">
                    <c:v>3.6999999999999998E-2</c:v>
                  </c:pt>
                  <c:pt idx="2">
                    <c:v>2.5999999999999999E-2</c:v>
                  </c:pt>
                  <c:pt idx="3">
                    <c:v>2.9000000000000001E-2</c:v>
                  </c:pt>
                  <c:pt idx="4">
                    <c:v>2.5000000000000001E-2</c:v>
                  </c:pt>
                </c:numCache>
              </c:numRef>
            </c:minus>
          </c:errBars>
          <c:cat>
            <c:strRef>
              <c:f>Sheet1!$A$21:$A$24</c:f>
              <c:strCache>
                <c:ptCount val="4"/>
                <c:pt idx="0">
                  <c:v>T0</c:v>
                </c:pt>
                <c:pt idx="1">
                  <c:v>T1</c:v>
                </c:pt>
                <c:pt idx="2">
                  <c:v>T2</c:v>
                </c:pt>
                <c:pt idx="3">
                  <c:v> T3</c:v>
                </c:pt>
              </c:strCache>
            </c:strRef>
          </c:cat>
          <c:val>
            <c:numRef>
              <c:f>Sheet1!$B$21:$B$24</c:f>
              <c:numCache>
                <c:formatCode>General</c:formatCode>
                <c:ptCount val="4"/>
                <c:pt idx="0">
                  <c:v>5.95</c:v>
                </c:pt>
                <c:pt idx="1">
                  <c:v>6.92</c:v>
                </c:pt>
                <c:pt idx="2">
                  <c:v>7.31</c:v>
                </c:pt>
                <c:pt idx="3">
                  <c:v>7.87</c:v>
                </c:pt>
              </c:numCache>
            </c:numRef>
          </c:val>
        </c:ser>
        <c:ser>
          <c:idx val="1"/>
          <c:order val="1"/>
          <c:tx>
            <c:strRef>
              <c:f>Sheet1!$C$20</c:f>
              <c:strCache>
                <c:ptCount val="1"/>
                <c:pt idx="0">
                  <c:v>2 (Lactoserum)</c:v>
                </c:pt>
              </c:strCache>
            </c:strRef>
          </c:tx>
          <c:spPr>
            <a:ln w="12700">
              <a:solidFill>
                <a:srgbClr val="FF9900"/>
              </a:solidFill>
            </a:ln>
          </c:spPr>
          <c:marker>
            <c:spPr>
              <a:solidFill>
                <a:srgbClr val="FF9900"/>
              </a:solidFill>
              <a:ln>
                <a:solidFill>
                  <a:srgbClr val="FF9900"/>
                </a:solidFill>
              </a:ln>
            </c:spPr>
          </c:marker>
          <c:errBars>
            <c:errDir val="y"/>
            <c:errBarType val="both"/>
            <c:errValType val="cust"/>
            <c:plus>
              <c:numRef>
                <c:f>Sheet1!$I$22:$M$22</c:f>
                <c:numCache>
                  <c:formatCode>General</c:formatCode>
                  <c:ptCount val="5"/>
                  <c:pt idx="0">
                    <c:v>2.1999999999999999E-2</c:v>
                  </c:pt>
                  <c:pt idx="1">
                    <c:v>3.4000000000000002E-2</c:v>
                  </c:pt>
                  <c:pt idx="2">
                    <c:v>3.0000000000000002E-2</c:v>
                  </c:pt>
                  <c:pt idx="3">
                    <c:v>2.7000000000000173E-2</c:v>
                  </c:pt>
                  <c:pt idx="4">
                    <c:v>2.5999999999999999E-2</c:v>
                  </c:pt>
                </c:numCache>
              </c:numRef>
            </c:plus>
            <c:minus>
              <c:numRef>
                <c:f>Sheet1!$I$22:$M$22</c:f>
                <c:numCache>
                  <c:formatCode>General</c:formatCode>
                  <c:ptCount val="5"/>
                  <c:pt idx="0">
                    <c:v>2.1999999999999999E-2</c:v>
                  </c:pt>
                  <c:pt idx="1">
                    <c:v>3.4000000000000002E-2</c:v>
                  </c:pt>
                  <c:pt idx="2">
                    <c:v>3.0000000000000002E-2</c:v>
                  </c:pt>
                  <c:pt idx="3">
                    <c:v>2.7000000000000173E-2</c:v>
                  </c:pt>
                  <c:pt idx="4">
                    <c:v>2.5999999999999999E-2</c:v>
                  </c:pt>
                </c:numCache>
              </c:numRef>
            </c:minus>
          </c:errBars>
          <c:cat>
            <c:strRef>
              <c:f>Sheet1!$A$21:$A$24</c:f>
              <c:strCache>
                <c:ptCount val="4"/>
                <c:pt idx="0">
                  <c:v>T0</c:v>
                </c:pt>
                <c:pt idx="1">
                  <c:v>T1</c:v>
                </c:pt>
                <c:pt idx="2">
                  <c:v>T2</c:v>
                </c:pt>
                <c:pt idx="3">
                  <c:v> T3</c:v>
                </c:pt>
              </c:strCache>
            </c:strRef>
          </c:cat>
          <c:val>
            <c:numRef>
              <c:f>Sheet1!$C$21:$C$24</c:f>
              <c:numCache>
                <c:formatCode>General</c:formatCode>
                <c:ptCount val="4"/>
                <c:pt idx="0">
                  <c:v>5.96</c:v>
                </c:pt>
                <c:pt idx="1">
                  <c:v>7.24</c:v>
                </c:pt>
                <c:pt idx="2">
                  <c:v>7.94</c:v>
                </c:pt>
                <c:pt idx="3">
                  <c:v>8.7200000000000024</c:v>
                </c:pt>
              </c:numCache>
            </c:numRef>
          </c:val>
        </c:ser>
        <c:ser>
          <c:idx val="2"/>
          <c:order val="2"/>
          <c:tx>
            <c:strRef>
              <c:f>Sheet1!$D$20</c:f>
              <c:strCache>
                <c:ptCount val="1"/>
                <c:pt idx="0">
                  <c:v>3 (Promilk)</c:v>
                </c:pt>
              </c:strCache>
            </c:strRef>
          </c:tx>
          <c:spPr>
            <a:ln w="12700">
              <a:solidFill>
                <a:srgbClr val="92D050"/>
              </a:solidFill>
            </a:ln>
          </c:spPr>
          <c:marker>
            <c:spPr>
              <a:solidFill>
                <a:srgbClr val="92D050"/>
              </a:solidFill>
              <a:ln>
                <a:solidFill>
                  <a:srgbClr val="92D050"/>
                </a:solidFill>
              </a:ln>
            </c:spPr>
          </c:marker>
          <c:errBars>
            <c:errDir val="y"/>
            <c:errBarType val="both"/>
            <c:errValType val="cust"/>
            <c:plus>
              <c:numRef>
                <c:f>Sheet1!$I$23:$M$23</c:f>
                <c:numCache>
                  <c:formatCode>General</c:formatCode>
                  <c:ptCount val="5"/>
                  <c:pt idx="0">
                    <c:v>3.500000000000001E-2</c:v>
                  </c:pt>
                  <c:pt idx="1">
                    <c:v>2.5000000000000001E-2</c:v>
                  </c:pt>
                  <c:pt idx="2">
                    <c:v>2.5999999999999999E-2</c:v>
                  </c:pt>
                  <c:pt idx="3">
                    <c:v>3.7999999999999999E-2</c:v>
                  </c:pt>
                  <c:pt idx="4">
                    <c:v>2.1999999999999999E-2</c:v>
                  </c:pt>
                </c:numCache>
              </c:numRef>
            </c:plus>
            <c:minus>
              <c:numRef>
                <c:f>Sheet1!$I$23:$M$23</c:f>
                <c:numCache>
                  <c:formatCode>General</c:formatCode>
                  <c:ptCount val="5"/>
                  <c:pt idx="0">
                    <c:v>3.500000000000001E-2</c:v>
                  </c:pt>
                  <c:pt idx="1">
                    <c:v>2.5000000000000001E-2</c:v>
                  </c:pt>
                  <c:pt idx="2">
                    <c:v>2.5999999999999999E-2</c:v>
                  </c:pt>
                  <c:pt idx="3">
                    <c:v>3.7999999999999999E-2</c:v>
                  </c:pt>
                  <c:pt idx="4">
                    <c:v>2.1999999999999999E-2</c:v>
                  </c:pt>
                </c:numCache>
              </c:numRef>
            </c:minus>
          </c:errBars>
          <c:cat>
            <c:strRef>
              <c:f>Sheet1!$A$21:$A$24</c:f>
              <c:strCache>
                <c:ptCount val="4"/>
                <c:pt idx="0">
                  <c:v>T0</c:v>
                </c:pt>
                <c:pt idx="1">
                  <c:v>T1</c:v>
                </c:pt>
                <c:pt idx="2">
                  <c:v>T2</c:v>
                </c:pt>
                <c:pt idx="3">
                  <c:v> T3</c:v>
                </c:pt>
              </c:strCache>
            </c:strRef>
          </c:cat>
          <c:val>
            <c:numRef>
              <c:f>Sheet1!$D$21:$D$24</c:f>
              <c:numCache>
                <c:formatCode>General</c:formatCode>
                <c:ptCount val="4"/>
                <c:pt idx="0">
                  <c:v>5.96</c:v>
                </c:pt>
                <c:pt idx="1">
                  <c:v>7.05</c:v>
                </c:pt>
                <c:pt idx="2">
                  <c:v>7.68</c:v>
                </c:pt>
                <c:pt idx="3">
                  <c:v>8.18</c:v>
                </c:pt>
              </c:numCache>
            </c:numRef>
          </c:val>
        </c:ser>
        <c:ser>
          <c:idx val="3"/>
          <c:order val="3"/>
          <c:tx>
            <c:strRef>
              <c:f>Sheet1!$E$20</c:f>
              <c:strCache>
                <c:ptCount val="1"/>
                <c:pt idx="0">
                  <c:v>4 (H. Caseine)</c:v>
                </c:pt>
              </c:strCache>
            </c:strRef>
          </c:tx>
          <c:spPr>
            <a:ln w="12700">
              <a:solidFill>
                <a:srgbClr val="990099"/>
              </a:solidFill>
            </a:ln>
          </c:spPr>
          <c:marker>
            <c:spPr>
              <a:solidFill>
                <a:srgbClr val="990099"/>
              </a:solidFill>
              <a:ln>
                <a:solidFill>
                  <a:srgbClr val="990099"/>
                </a:solidFill>
              </a:ln>
            </c:spPr>
          </c:marker>
          <c:errBars>
            <c:errDir val="y"/>
            <c:errBarType val="both"/>
            <c:errValType val="cust"/>
            <c:plus>
              <c:numRef>
                <c:f>Sheet1!$I$24:$M$24</c:f>
                <c:numCache>
                  <c:formatCode>General</c:formatCode>
                  <c:ptCount val="5"/>
                  <c:pt idx="0">
                    <c:v>2.5000000000000001E-2</c:v>
                  </c:pt>
                  <c:pt idx="1">
                    <c:v>3.0000000000000002E-2</c:v>
                  </c:pt>
                  <c:pt idx="2">
                    <c:v>5.6000000000000001E-2</c:v>
                  </c:pt>
                  <c:pt idx="3">
                    <c:v>4.7000000000000014E-2</c:v>
                  </c:pt>
                  <c:pt idx="4">
                    <c:v>3.1000000000000052E-2</c:v>
                  </c:pt>
                </c:numCache>
              </c:numRef>
            </c:plus>
            <c:minus>
              <c:numRef>
                <c:f>Sheet1!$I$24:$M$24</c:f>
                <c:numCache>
                  <c:formatCode>General</c:formatCode>
                  <c:ptCount val="5"/>
                  <c:pt idx="0">
                    <c:v>2.5000000000000001E-2</c:v>
                  </c:pt>
                  <c:pt idx="1">
                    <c:v>3.0000000000000002E-2</c:v>
                  </c:pt>
                  <c:pt idx="2">
                    <c:v>5.6000000000000001E-2</c:v>
                  </c:pt>
                  <c:pt idx="3">
                    <c:v>4.7000000000000014E-2</c:v>
                  </c:pt>
                  <c:pt idx="4">
                    <c:v>3.1000000000000052E-2</c:v>
                  </c:pt>
                </c:numCache>
              </c:numRef>
            </c:minus>
          </c:errBars>
          <c:cat>
            <c:strRef>
              <c:f>Sheet1!$A$21:$A$24</c:f>
              <c:strCache>
                <c:ptCount val="4"/>
                <c:pt idx="0">
                  <c:v>T0</c:v>
                </c:pt>
                <c:pt idx="1">
                  <c:v>T1</c:v>
                </c:pt>
                <c:pt idx="2">
                  <c:v>T2</c:v>
                </c:pt>
                <c:pt idx="3">
                  <c:v> T3</c:v>
                </c:pt>
              </c:strCache>
            </c:strRef>
          </c:cat>
          <c:val>
            <c:numRef>
              <c:f>Sheet1!$E$21:$E$24</c:f>
              <c:numCache>
                <c:formatCode>General</c:formatCode>
                <c:ptCount val="4"/>
                <c:pt idx="0">
                  <c:v>5.96</c:v>
                </c:pt>
                <c:pt idx="1">
                  <c:v>7.13</c:v>
                </c:pt>
                <c:pt idx="2">
                  <c:v>7.6499999999999995</c:v>
                </c:pt>
                <c:pt idx="3">
                  <c:v>8.3700000000000028</c:v>
                </c:pt>
              </c:numCache>
            </c:numRef>
          </c:val>
        </c:ser>
        <c:ser>
          <c:idx val="4"/>
          <c:order val="4"/>
          <c:tx>
            <c:strRef>
              <c:f>Sheet1!$F$20</c:f>
              <c:strCache>
                <c:ptCount val="1"/>
                <c:pt idx="0">
                  <c:v>5 (H. Proteine)</c:v>
                </c:pt>
              </c:strCache>
            </c:strRef>
          </c:tx>
          <c:spPr>
            <a:ln w="12700">
              <a:solidFill>
                <a:srgbClr val="FF33CC"/>
              </a:solidFill>
            </a:ln>
          </c:spPr>
          <c:marker>
            <c:symbol val="circle"/>
            <c:size val="4"/>
            <c:spPr>
              <a:solidFill>
                <a:srgbClr val="FF33CC"/>
              </a:solidFill>
              <a:ln>
                <a:solidFill>
                  <a:srgbClr val="FF33CC"/>
                </a:solidFill>
              </a:ln>
            </c:spPr>
          </c:marker>
          <c:cat>
            <c:strRef>
              <c:f>Sheet1!$A$21:$A$24</c:f>
              <c:strCache>
                <c:ptCount val="4"/>
                <c:pt idx="0">
                  <c:v>T0</c:v>
                </c:pt>
                <c:pt idx="1">
                  <c:v>T1</c:v>
                </c:pt>
                <c:pt idx="2">
                  <c:v>T2</c:v>
                </c:pt>
                <c:pt idx="3">
                  <c:v> T3</c:v>
                </c:pt>
              </c:strCache>
            </c:strRef>
          </c:cat>
          <c:val>
            <c:numRef>
              <c:f>Sheet1!$F$21:$F$24</c:f>
              <c:numCache>
                <c:formatCode>General</c:formatCode>
                <c:ptCount val="4"/>
                <c:pt idx="0">
                  <c:v>5.95</c:v>
                </c:pt>
                <c:pt idx="1">
                  <c:v>7.28</c:v>
                </c:pt>
                <c:pt idx="2">
                  <c:v>7.99</c:v>
                </c:pt>
                <c:pt idx="3">
                  <c:v>8.68</c:v>
                </c:pt>
              </c:numCache>
            </c:numRef>
          </c:val>
        </c:ser>
        <c:marker val="1"/>
        <c:axId val="54403072"/>
        <c:axId val="54404992"/>
      </c:lineChart>
      <c:catAx>
        <c:axId val="54403072"/>
        <c:scaling>
          <c:orientation val="minMax"/>
        </c:scaling>
        <c:axPos val="b"/>
        <c:title>
          <c:tx>
            <c:rich>
              <a:bodyPr/>
              <a:lstStyle/>
              <a:p>
                <a:pPr>
                  <a:defRPr sz="1000" b="1" i="0" u="none" strike="noStrike" baseline="0">
                    <a:solidFill>
                      <a:srgbClr val="000000"/>
                    </a:solidFill>
                    <a:latin typeface="Times New Roman"/>
                    <a:ea typeface="Times New Roman"/>
                    <a:cs typeface="Times New Roman"/>
                  </a:defRPr>
                </a:pPr>
                <a:r>
                  <a:rPr lang="fr-FR"/>
                  <a:t>Temps (h)</a:t>
                </a:r>
              </a:p>
            </c:rich>
          </c:tx>
          <c:layout>
            <c:manualLayout>
              <c:xMode val="edge"/>
              <c:yMode val="edge"/>
              <c:x val="0.46124772278586185"/>
              <c:y val="0.91369047619047961"/>
            </c:manualLayout>
          </c:layout>
        </c:title>
        <c:numFmt formatCode="General" sourceLinked="1"/>
        <c:tickLblPos val="nextTo"/>
        <c:spPr>
          <a:ln w="9525">
            <a:solidFill>
              <a:schemeClr val="tx1"/>
            </a:solidFill>
          </a:ln>
        </c:spPr>
        <c:txPr>
          <a:bodyPr rot="0" vert="horz"/>
          <a:lstStyle/>
          <a:p>
            <a:pPr>
              <a:defRPr sz="1000" b="1" i="0" u="none" strike="noStrike" baseline="0">
                <a:solidFill>
                  <a:srgbClr val="000000"/>
                </a:solidFill>
                <a:latin typeface="Calibri"/>
                <a:ea typeface="Calibri"/>
                <a:cs typeface="Calibri"/>
              </a:defRPr>
            </a:pPr>
            <a:endParaRPr lang="fr-FR"/>
          </a:p>
        </c:txPr>
        <c:crossAx val="54404992"/>
        <c:crosses val="autoZero"/>
        <c:auto val="1"/>
        <c:lblAlgn val="ctr"/>
        <c:lblOffset val="100"/>
      </c:catAx>
      <c:valAx>
        <c:axId val="54404992"/>
        <c:scaling>
          <c:orientation val="minMax"/>
          <c:max val="9"/>
          <c:min val="5.5"/>
        </c:scaling>
        <c:axPos val="l"/>
        <c:title>
          <c:tx>
            <c:rich>
              <a:bodyPr/>
              <a:lstStyle/>
              <a:p>
                <a:pPr>
                  <a:defRPr sz="1000" b="1" i="0" u="none" strike="noStrike" baseline="0">
                    <a:solidFill>
                      <a:srgbClr val="000000"/>
                    </a:solidFill>
                    <a:latin typeface="Times New Roman"/>
                    <a:ea typeface="Times New Roman"/>
                    <a:cs typeface="Times New Roman"/>
                  </a:defRPr>
                </a:pPr>
                <a:r>
                  <a:rPr lang="fr-FR"/>
                  <a:t>log UFC/ml</a:t>
                </a:r>
              </a:p>
            </c:rich>
          </c:tx>
          <c:layout/>
        </c:title>
        <c:numFmt formatCode="General" sourceLinked="1"/>
        <c:tickLblPos val="nextTo"/>
        <c:spPr>
          <a:ln w="9525">
            <a:solidFill>
              <a:schemeClr val="tx1"/>
            </a:solidFill>
          </a:ln>
        </c:spPr>
        <c:txPr>
          <a:bodyPr rot="0" vert="horz"/>
          <a:lstStyle/>
          <a:p>
            <a:pPr>
              <a:defRPr sz="1000" b="1" i="0" u="none" strike="noStrike" baseline="0">
                <a:solidFill>
                  <a:srgbClr val="000000"/>
                </a:solidFill>
                <a:latin typeface="Calibri"/>
                <a:ea typeface="Calibri"/>
                <a:cs typeface="Calibri"/>
              </a:defRPr>
            </a:pPr>
            <a:endParaRPr lang="fr-FR"/>
          </a:p>
        </c:txPr>
        <c:crossAx val="54403072"/>
        <c:crosses val="autoZero"/>
        <c:crossBetween val="midCat"/>
        <c:majorUnit val="0.5"/>
      </c:valAx>
    </c:plotArea>
    <c:plotVisOnly val="1"/>
    <c:dispBlanksAs val="gap"/>
  </c:chart>
  <c:spPr>
    <a:ln>
      <a:solidFill>
        <a:schemeClr val="bg1"/>
      </a:solidFill>
    </a:ln>
  </c:spPr>
  <c:txPr>
    <a:bodyPr/>
    <a:lstStyle/>
    <a:p>
      <a:pPr>
        <a:defRPr sz="1000" b="0" i="0" u="none" strike="noStrike" baseline="0">
          <a:solidFill>
            <a:srgbClr val="000000"/>
          </a:solidFill>
          <a:latin typeface="Calibri"/>
          <a:ea typeface="Calibri"/>
          <a:cs typeface="Calibri"/>
        </a:defRPr>
      </a:pPr>
      <a:endParaRPr lang="fr-FR"/>
    </a:p>
  </c:txPr>
  <c:externalData r:id="rId1"/>
  <c:userShapes r:id="rId2"/>
</c:chartSpace>
</file>

<file path=word/charts/chart31.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a:pPr>
            <a:r>
              <a:rPr lang="fr-FR">
                <a:latin typeface="Times New Roman" pitchFamily="18" charset="0"/>
                <a:cs typeface="Times New Roman" pitchFamily="18" charset="0"/>
              </a:rPr>
              <a:t>E</a:t>
            </a:r>
          </a:p>
        </c:rich>
      </c:tx>
      <c:layout>
        <c:manualLayout>
          <c:xMode val="edge"/>
          <c:yMode val="edge"/>
          <c:x val="3.93808092058815E-3"/>
          <c:y val="1.1908306043465383E-2"/>
        </c:manualLayout>
      </c:layout>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24764154480689946"/>
          <c:y val="0.14181473657256297"/>
          <c:w val="0.6843472507113082"/>
          <c:h val="0.64224521262196665"/>
        </c:manualLayout>
      </c:layout>
      <c:lineChart>
        <c:grouping val="standard"/>
        <c:ser>
          <c:idx val="0"/>
          <c:order val="0"/>
          <c:tx>
            <c:strRef>
              <c:f>Sheet1!$B$4</c:f>
              <c:strCache>
                <c:ptCount val="1"/>
                <c:pt idx="0">
                  <c:v>1 (Temoin)</c:v>
                </c:pt>
              </c:strCache>
            </c:strRef>
          </c:tx>
          <c:spPr>
            <a:ln w="12700"/>
          </c:spPr>
          <c:errBars>
            <c:errDir val="y"/>
            <c:errBarType val="both"/>
            <c:errValType val="cust"/>
            <c:plus>
              <c:numRef>
                <c:f>Sheet1!$I$5:$M$5</c:f>
                <c:numCache>
                  <c:formatCode>General</c:formatCode>
                  <c:ptCount val="5"/>
                  <c:pt idx="0">
                    <c:v>1.2999999999999998E-2</c:v>
                  </c:pt>
                  <c:pt idx="1">
                    <c:v>1.7000000000000001E-2</c:v>
                  </c:pt>
                  <c:pt idx="2">
                    <c:v>2.1999999999999999E-2</c:v>
                  </c:pt>
                  <c:pt idx="3">
                    <c:v>2.5999999999999999E-2</c:v>
                  </c:pt>
                  <c:pt idx="4">
                    <c:v>4.3999999999999997E-2</c:v>
                  </c:pt>
                </c:numCache>
              </c:numRef>
            </c:plus>
            <c:minus>
              <c:numRef>
                <c:f>Sheet1!$I$5:$M$5</c:f>
                <c:numCache>
                  <c:formatCode>General</c:formatCode>
                  <c:ptCount val="5"/>
                  <c:pt idx="0">
                    <c:v>1.2999999999999998E-2</c:v>
                  </c:pt>
                  <c:pt idx="1">
                    <c:v>1.7000000000000001E-2</c:v>
                  </c:pt>
                  <c:pt idx="2">
                    <c:v>2.1999999999999999E-2</c:v>
                  </c:pt>
                  <c:pt idx="3">
                    <c:v>2.5999999999999999E-2</c:v>
                  </c:pt>
                  <c:pt idx="4">
                    <c:v>4.3999999999999997E-2</c:v>
                  </c:pt>
                </c:numCache>
              </c:numRef>
            </c:minus>
          </c:errBars>
          <c:cat>
            <c:strRef>
              <c:f>Sheet1!$A$5:$A$8</c:f>
              <c:strCache>
                <c:ptCount val="4"/>
                <c:pt idx="0">
                  <c:v>T0</c:v>
                </c:pt>
                <c:pt idx="1">
                  <c:v>T1</c:v>
                </c:pt>
                <c:pt idx="2">
                  <c:v>T2</c:v>
                </c:pt>
                <c:pt idx="3">
                  <c:v> T3</c:v>
                </c:pt>
              </c:strCache>
            </c:strRef>
          </c:cat>
          <c:val>
            <c:numRef>
              <c:f>Sheet1!$B$5:$B$8</c:f>
              <c:numCache>
                <c:formatCode>General</c:formatCode>
                <c:ptCount val="4"/>
                <c:pt idx="0">
                  <c:v>6.6</c:v>
                </c:pt>
                <c:pt idx="1">
                  <c:v>6.1899999999999995</c:v>
                </c:pt>
                <c:pt idx="2">
                  <c:v>5.41</c:v>
                </c:pt>
                <c:pt idx="3">
                  <c:v>4.9800000000000004</c:v>
                </c:pt>
              </c:numCache>
            </c:numRef>
          </c:val>
        </c:ser>
        <c:ser>
          <c:idx val="1"/>
          <c:order val="1"/>
          <c:tx>
            <c:strRef>
              <c:f>Sheet1!$C$4</c:f>
              <c:strCache>
                <c:ptCount val="1"/>
                <c:pt idx="0">
                  <c:v>2 (Lactoserum)</c:v>
                </c:pt>
              </c:strCache>
            </c:strRef>
          </c:tx>
          <c:spPr>
            <a:ln w="12700">
              <a:solidFill>
                <a:srgbClr val="FF9900"/>
              </a:solidFill>
            </a:ln>
          </c:spPr>
          <c:marker>
            <c:symbol val="square"/>
            <c:size val="4"/>
            <c:spPr>
              <a:solidFill>
                <a:srgbClr val="FF9900"/>
              </a:solidFill>
              <a:ln>
                <a:solidFill>
                  <a:srgbClr val="FF9900"/>
                </a:solidFill>
              </a:ln>
            </c:spPr>
          </c:marker>
          <c:errBars>
            <c:errDir val="y"/>
            <c:errBarType val="both"/>
            <c:errValType val="cust"/>
            <c:plus>
              <c:numRef>
                <c:f>Sheet1!$I$6:$M$6</c:f>
                <c:numCache>
                  <c:formatCode>General</c:formatCode>
                  <c:ptCount val="5"/>
                  <c:pt idx="0">
                    <c:v>1.7999999999999999E-2</c:v>
                  </c:pt>
                  <c:pt idx="1">
                    <c:v>2.1000000000000012E-2</c:v>
                  </c:pt>
                  <c:pt idx="2">
                    <c:v>3.1000000000000052E-2</c:v>
                  </c:pt>
                  <c:pt idx="3">
                    <c:v>2.8000000000000001E-2</c:v>
                  </c:pt>
                  <c:pt idx="4">
                    <c:v>4.0000000000000022E-2</c:v>
                  </c:pt>
                </c:numCache>
              </c:numRef>
            </c:plus>
            <c:minus>
              <c:numRef>
                <c:f>Sheet1!$I$6:$M$6</c:f>
                <c:numCache>
                  <c:formatCode>General</c:formatCode>
                  <c:ptCount val="5"/>
                  <c:pt idx="0">
                    <c:v>1.7999999999999999E-2</c:v>
                  </c:pt>
                  <c:pt idx="1">
                    <c:v>2.1000000000000012E-2</c:v>
                  </c:pt>
                  <c:pt idx="2">
                    <c:v>3.1000000000000052E-2</c:v>
                  </c:pt>
                  <c:pt idx="3">
                    <c:v>2.8000000000000001E-2</c:v>
                  </c:pt>
                  <c:pt idx="4">
                    <c:v>4.0000000000000022E-2</c:v>
                  </c:pt>
                </c:numCache>
              </c:numRef>
            </c:minus>
          </c:errBars>
          <c:cat>
            <c:strRef>
              <c:f>Sheet1!$A$5:$A$8</c:f>
              <c:strCache>
                <c:ptCount val="4"/>
                <c:pt idx="0">
                  <c:v>T0</c:v>
                </c:pt>
                <c:pt idx="1">
                  <c:v>T1</c:v>
                </c:pt>
                <c:pt idx="2">
                  <c:v>T2</c:v>
                </c:pt>
                <c:pt idx="3">
                  <c:v> T3</c:v>
                </c:pt>
              </c:strCache>
            </c:strRef>
          </c:cat>
          <c:val>
            <c:numRef>
              <c:f>Sheet1!$C$5:$C$8</c:f>
              <c:numCache>
                <c:formatCode>General</c:formatCode>
                <c:ptCount val="4"/>
                <c:pt idx="0">
                  <c:v>6.24</c:v>
                </c:pt>
                <c:pt idx="1">
                  <c:v>5.59</c:v>
                </c:pt>
                <c:pt idx="2">
                  <c:v>5.1599999999999975</c:v>
                </c:pt>
                <c:pt idx="3">
                  <c:v>4.84</c:v>
                </c:pt>
              </c:numCache>
            </c:numRef>
          </c:val>
        </c:ser>
        <c:ser>
          <c:idx val="2"/>
          <c:order val="2"/>
          <c:tx>
            <c:strRef>
              <c:f>Sheet1!$D$4</c:f>
              <c:strCache>
                <c:ptCount val="1"/>
                <c:pt idx="0">
                  <c:v>3 (Promilk)</c:v>
                </c:pt>
              </c:strCache>
            </c:strRef>
          </c:tx>
          <c:spPr>
            <a:ln w="12700">
              <a:solidFill>
                <a:srgbClr val="92D050"/>
              </a:solidFill>
            </a:ln>
          </c:spPr>
          <c:marker>
            <c:spPr>
              <a:solidFill>
                <a:srgbClr val="92D050"/>
              </a:solidFill>
              <a:ln>
                <a:solidFill>
                  <a:srgbClr val="92D050"/>
                </a:solidFill>
              </a:ln>
            </c:spPr>
          </c:marker>
          <c:errBars>
            <c:errDir val="y"/>
            <c:errBarType val="both"/>
            <c:errValType val="cust"/>
            <c:plus>
              <c:numRef>
                <c:f>Sheet1!$I$7:$M$7</c:f>
                <c:numCache>
                  <c:formatCode>General</c:formatCode>
                  <c:ptCount val="5"/>
                  <c:pt idx="0">
                    <c:v>2.8000000000000001E-2</c:v>
                  </c:pt>
                  <c:pt idx="1">
                    <c:v>3.5999999999999997E-2</c:v>
                  </c:pt>
                  <c:pt idx="2">
                    <c:v>2.5000000000000001E-2</c:v>
                  </c:pt>
                  <c:pt idx="3">
                    <c:v>2.1000000000000012E-2</c:v>
                  </c:pt>
                  <c:pt idx="4">
                    <c:v>1.9000000000000111E-2</c:v>
                  </c:pt>
                </c:numCache>
              </c:numRef>
            </c:plus>
            <c:minus>
              <c:numRef>
                <c:f>Sheet1!$I$8:$M$8</c:f>
                <c:numCache>
                  <c:formatCode>General</c:formatCode>
                  <c:ptCount val="5"/>
                  <c:pt idx="0">
                    <c:v>1.6000000000000021E-2</c:v>
                  </c:pt>
                  <c:pt idx="1">
                    <c:v>1.2E-2</c:v>
                  </c:pt>
                  <c:pt idx="2">
                    <c:v>3.5999999999999997E-2</c:v>
                  </c:pt>
                  <c:pt idx="3">
                    <c:v>1.0000000000000005E-2</c:v>
                  </c:pt>
                  <c:pt idx="4">
                    <c:v>3.3000000000000002E-2</c:v>
                  </c:pt>
                </c:numCache>
              </c:numRef>
            </c:minus>
          </c:errBars>
          <c:cat>
            <c:strRef>
              <c:f>Sheet1!$A$5:$A$8</c:f>
              <c:strCache>
                <c:ptCount val="4"/>
                <c:pt idx="0">
                  <c:v>T0</c:v>
                </c:pt>
                <c:pt idx="1">
                  <c:v>T1</c:v>
                </c:pt>
                <c:pt idx="2">
                  <c:v>T2</c:v>
                </c:pt>
                <c:pt idx="3">
                  <c:v> T3</c:v>
                </c:pt>
              </c:strCache>
            </c:strRef>
          </c:cat>
          <c:val>
            <c:numRef>
              <c:f>Sheet1!$D$5:$D$8</c:f>
              <c:numCache>
                <c:formatCode>General</c:formatCode>
                <c:ptCount val="4"/>
                <c:pt idx="0">
                  <c:v>6.57</c:v>
                </c:pt>
                <c:pt idx="1">
                  <c:v>5.94</c:v>
                </c:pt>
                <c:pt idx="2">
                  <c:v>5.3599999999999985</c:v>
                </c:pt>
                <c:pt idx="3">
                  <c:v>4.9800000000000004</c:v>
                </c:pt>
              </c:numCache>
            </c:numRef>
          </c:val>
        </c:ser>
        <c:ser>
          <c:idx val="3"/>
          <c:order val="3"/>
          <c:tx>
            <c:strRef>
              <c:f>Sheet1!$E$4</c:f>
              <c:strCache>
                <c:ptCount val="1"/>
                <c:pt idx="0">
                  <c:v>4 (H. Caseine)</c:v>
                </c:pt>
              </c:strCache>
            </c:strRef>
          </c:tx>
          <c:spPr>
            <a:ln w="12700">
              <a:solidFill>
                <a:srgbClr val="990099"/>
              </a:solidFill>
            </a:ln>
          </c:spPr>
          <c:marker>
            <c:spPr>
              <a:solidFill>
                <a:srgbClr val="990099"/>
              </a:solidFill>
              <a:ln>
                <a:solidFill>
                  <a:srgbClr val="990099"/>
                </a:solidFill>
              </a:ln>
            </c:spPr>
          </c:marker>
          <c:errBars>
            <c:errDir val="y"/>
            <c:errBarType val="both"/>
            <c:errValType val="cust"/>
            <c:plus>
              <c:numRef>
                <c:f>Sheet1!$I$8:$M$8</c:f>
                <c:numCache>
                  <c:formatCode>General</c:formatCode>
                  <c:ptCount val="5"/>
                  <c:pt idx="0">
                    <c:v>1.6000000000000021E-2</c:v>
                  </c:pt>
                  <c:pt idx="1">
                    <c:v>1.2E-2</c:v>
                  </c:pt>
                  <c:pt idx="2">
                    <c:v>3.5999999999999997E-2</c:v>
                  </c:pt>
                  <c:pt idx="3">
                    <c:v>1.0000000000000005E-2</c:v>
                  </c:pt>
                  <c:pt idx="4">
                    <c:v>3.3000000000000002E-2</c:v>
                  </c:pt>
                </c:numCache>
              </c:numRef>
            </c:plus>
            <c:minus>
              <c:numRef>
                <c:f>Sheet1!$I$8:$M$8</c:f>
                <c:numCache>
                  <c:formatCode>General</c:formatCode>
                  <c:ptCount val="5"/>
                  <c:pt idx="0">
                    <c:v>1.6000000000000021E-2</c:v>
                  </c:pt>
                  <c:pt idx="1">
                    <c:v>1.2E-2</c:v>
                  </c:pt>
                  <c:pt idx="2">
                    <c:v>3.5999999999999997E-2</c:v>
                  </c:pt>
                  <c:pt idx="3">
                    <c:v>1.0000000000000005E-2</c:v>
                  </c:pt>
                  <c:pt idx="4">
                    <c:v>3.3000000000000002E-2</c:v>
                  </c:pt>
                </c:numCache>
              </c:numRef>
            </c:minus>
          </c:errBars>
          <c:cat>
            <c:strRef>
              <c:f>Sheet1!$A$5:$A$8</c:f>
              <c:strCache>
                <c:ptCount val="4"/>
                <c:pt idx="0">
                  <c:v>T0</c:v>
                </c:pt>
                <c:pt idx="1">
                  <c:v>T1</c:v>
                </c:pt>
                <c:pt idx="2">
                  <c:v>T2</c:v>
                </c:pt>
                <c:pt idx="3">
                  <c:v> T3</c:v>
                </c:pt>
              </c:strCache>
            </c:strRef>
          </c:cat>
          <c:val>
            <c:numRef>
              <c:f>Sheet1!$E$5:$E$8</c:f>
              <c:numCache>
                <c:formatCode>General</c:formatCode>
                <c:ptCount val="4"/>
                <c:pt idx="0">
                  <c:v>6.45</c:v>
                </c:pt>
                <c:pt idx="1">
                  <c:v>5.83</c:v>
                </c:pt>
                <c:pt idx="2">
                  <c:v>5.21</c:v>
                </c:pt>
                <c:pt idx="3">
                  <c:v>4.9000000000000004</c:v>
                </c:pt>
              </c:numCache>
            </c:numRef>
          </c:val>
        </c:ser>
        <c:ser>
          <c:idx val="4"/>
          <c:order val="4"/>
          <c:tx>
            <c:strRef>
              <c:f>Sheet1!$F$4</c:f>
              <c:strCache>
                <c:ptCount val="1"/>
                <c:pt idx="0">
                  <c:v>5 (H. Proteine)</c:v>
                </c:pt>
              </c:strCache>
            </c:strRef>
          </c:tx>
          <c:spPr>
            <a:ln w="12700">
              <a:solidFill>
                <a:srgbClr val="FF33CC"/>
              </a:solidFill>
            </a:ln>
          </c:spPr>
          <c:marker>
            <c:symbol val="circle"/>
            <c:size val="4"/>
            <c:spPr>
              <a:solidFill>
                <a:srgbClr val="FF33CC"/>
              </a:solidFill>
              <a:ln>
                <a:solidFill>
                  <a:srgbClr val="FF33CC"/>
                </a:solidFill>
              </a:ln>
            </c:spPr>
          </c:marker>
          <c:cat>
            <c:strRef>
              <c:f>Sheet1!$A$5:$A$8</c:f>
              <c:strCache>
                <c:ptCount val="4"/>
                <c:pt idx="0">
                  <c:v>T0</c:v>
                </c:pt>
                <c:pt idx="1">
                  <c:v>T1</c:v>
                </c:pt>
                <c:pt idx="2">
                  <c:v>T2</c:v>
                </c:pt>
                <c:pt idx="3">
                  <c:v> T3</c:v>
                </c:pt>
              </c:strCache>
            </c:strRef>
          </c:cat>
          <c:val>
            <c:numRef>
              <c:f>Sheet1!$F$5:$F$8</c:f>
              <c:numCache>
                <c:formatCode>General</c:formatCode>
                <c:ptCount val="4"/>
                <c:pt idx="0">
                  <c:v>6.57</c:v>
                </c:pt>
                <c:pt idx="1">
                  <c:v>5.73</c:v>
                </c:pt>
                <c:pt idx="2">
                  <c:v>5.18</c:v>
                </c:pt>
                <c:pt idx="3">
                  <c:v>4.9700000000000024</c:v>
                </c:pt>
              </c:numCache>
            </c:numRef>
          </c:val>
        </c:ser>
        <c:marker val="1"/>
        <c:axId val="54459008"/>
        <c:axId val="59856000"/>
      </c:lineChart>
      <c:catAx>
        <c:axId val="54459008"/>
        <c:scaling>
          <c:orientation val="minMax"/>
        </c:scaling>
        <c:axPos val="b"/>
        <c:title>
          <c:tx>
            <c:rich>
              <a:bodyPr/>
              <a:lstStyle/>
              <a:p>
                <a:pPr>
                  <a:defRPr>
                    <a:latin typeface="Times New Roman" pitchFamily="18" charset="0"/>
                    <a:cs typeface="Times New Roman" pitchFamily="18" charset="0"/>
                  </a:defRPr>
                </a:pPr>
                <a:r>
                  <a:rPr lang="en-US">
                    <a:latin typeface="Times New Roman" pitchFamily="18" charset="0"/>
                    <a:cs typeface="Times New Roman" pitchFamily="18" charset="0"/>
                  </a:rPr>
                  <a:t>Temps (h)</a:t>
                </a:r>
              </a:p>
            </c:rich>
          </c:tx>
          <c:layout>
            <c:manualLayout>
              <c:xMode val="edge"/>
              <c:yMode val="edge"/>
              <c:x val="0.41484109253309809"/>
              <c:y val="0.9136647811848766"/>
            </c:manualLayout>
          </c:layout>
        </c:title>
        <c:numFmt formatCode="General" sourceLinked="1"/>
        <c:tickLblPos val="nextTo"/>
        <c:spPr>
          <a:ln w="9525">
            <a:solidFill>
              <a:schemeClr val="tx1"/>
            </a:solidFill>
          </a:ln>
        </c:spPr>
        <c:txPr>
          <a:bodyPr/>
          <a:lstStyle/>
          <a:p>
            <a:pPr>
              <a:defRPr b="1"/>
            </a:pPr>
            <a:endParaRPr lang="fr-FR"/>
          </a:p>
        </c:txPr>
        <c:crossAx val="59856000"/>
        <c:crosses val="autoZero"/>
        <c:auto val="1"/>
        <c:lblAlgn val="ctr"/>
        <c:lblOffset val="100"/>
      </c:catAx>
      <c:valAx>
        <c:axId val="59856000"/>
        <c:scaling>
          <c:orientation val="minMax"/>
          <c:max val="7"/>
          <c:min val="4.5"/>
        </c:scaling>
        <c:axPos val="l"/>
        <c:title>
          <c:tx>
            <c:rich>
              <a:bodyPr rot="-5400000" vert="horz"/>
              <a:lstStyle/>
              <a:p>
                <a:pPr>
                  <a:defRPr>
                    <a:latin typeface="Times New Roman" pitchFamily="18" charset="0"/>
                    <a:cs typeface="Times New Roman" pitchFamily="18" charset="0"/>
                  </a:defRPr>
                </a:pPr>
                <a:r>
                  <a:rPr lang="en-US">
                    <a:latin typeface="Times New Roman" pitchFamily="18" charset="0"/>
                    <a:cs typeface="Times New Roman" pitchFamily="18" charset="0"/>
                  </a:rPr>
                  <a:t>pH</a:t>
                </a:r>
              </a:p>
            </c:rich>
          </c:tx>
          <c:layout/>
        </c:title>
        <c:numFmt formatCode="General" sourceLinked="1"/>
        <c:tickLblPos val="nextTo"/>
        <c:spPr>
          <a:ln w="9525">
            <a:solidFill>
              <a:sysClr val="windowText" lastClr="000000"/>
            </a:solidFill>
          </a:ln>
        </c:spPr>
        <c:txPr>
          <a:bodyPr/>
          <a:lstStyle/>
          <a:p>
            <a:pPr>
              <a:defRPr b="1"/>
            </a:pPr>
            <a:endParaRPr lang="fr-FR"/>
          </a:p>
        </c:txPr>
        <c:crossAx val="54459008"/>
        <c:crosses val="autoZero"/>
        <c:crossBetween val="midCat"/>
      </c:valAx>
    </c:plotArea>
    <c:plotVisOnly val="1"/>
    <c:dispBlanksAs val="gap"/>
  </c:chart>
  <c:spPr>
    <a:ln>
      <a:solidFill>
        <a:schemeClr val="bg1"/>
      </a:solidFill>
    </a:ln>
  </c:spPr>
  <c:externalData r:id="rId1"/>
  <c:userShapes r:id="rId2"/>
</c:chartSpace>
</file>

<file path=word/charts/chart32.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a:pPr>
            <a:r>
              <a:rPr lang="fr-FR" sz="1800">
                <a:latin typeface="Times New Roman" pitchFamily="18" charset="0"/>
                <a:cs typeface="Times New Roman" pitchFamily="18" charset="0"/>
              </a:rPr>
              <a:t>D</a:t>
            </a:r>
          </a:p>
        </c:rich>
      </c:tx>
      <c:layout>
        <c:manualLayout>
          <c:xMode val="edge"/>
          <c:yMode val="edge"/>
          <c:x val="2.8301886792452807E-2"/>
          <c:y val="0"/>
        </c:manualLayout>
      </c:layout>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23783769453060791"/>
          <c:y val="0.15028989089368341"/>
          <c:w val="0.60671421122865055"/>
          <c:h val="0.66100961595047592"/>
        </c:manualLayout>
      </c:layout>
      <c:lineChart>
        <c:grouping val="standard"/>
        <c:ser>
          <c:idx val="0"/>
          <c:order val="0"/>
          <c:tx>
            <c:strRef>
              <c:f>Sheet1!$B$4</c:f>
              <c:strCache>
                <c:ptCount val="1"/>
                <c:pt idx="0">
                  <c:v>1 (Temoin)</c:v>
                </c:pt>
              </c:strCache>
            </c:strRef>
          </c:tx>
          <c:spPr>
            <a:ln w="12700"/>
          </c:spPr>
          <c:errBars>
            <c:errDir val="y"/>
            <c:errBarType val="both"/>
            <c:errValType val="cust"/>
            <c:plus>
              <c:numRef>
                <c:f>Sheet1!$I$5:$M$5</c:f>
                <c:numCache>
                  <c:formatCode>General</c:formatCode>
                  <c:ptCount val="5"/>
                  <c:pt idx="0">
                    <c:v>2.3E-2</c:v>
                  </c:pt>
                  <c:pt idx="1">
                    <c:v>2.7000000000000159E-2</c:v>
                  </c:pt>
                  <c:pt idx="2">
                    <c:v>1.7999999999999999E-2</c:v>
                  </c:pt>
                  <c:pt idx="3">
                    <c:v>2.0000000000000011E-2</c:v>
                  </c:pt>
                  <c:pt idx="4">
                    <c:v>2.1999999999999999E-2</c:v>
                  </c:pt>
                </c:numCache>
              </c:numRef>
            </c:plus>
            <c:minus>
              <c:numRef>
                <c:f>Sheet1!$I$5:$M$5</c:f>
                <c:numCache>
                  <c:formatCode>General</c:formatCode>
                  <c:ptCount val="5"/>
                  <c:pt idx="0">
                    <c:v>2.3E-2</c:v>
                  </c:pt>
                  <c:pt idx="1">
                    <c:v>2.7000000000000159E-2</c:v>
                  </c:pt>
                  <c:pt idx="2">
                    <c:v>1.7999999999999999E-2</c:v>
                  </c:pt>
                  <c:pt idx="3">
                    <c:v>2.0000000000000011E-2</c:v>
                  </c:pt>
                  <c:pt idx="4">
                    <c:v>2.1999999999999999E-2</c:v>
                  </c:pt>
                </c:numCache>
              </c:numRef>
            </c:minus>
          </c:errBars>
          <c:cat>
            <c:strRef>
              <c:f>Sheet1!$A$5:$A$8</c:f>
              <c:strCache>
                <c:ptCount val="4"/>
                <c:pt idx="0">
                  <c:v>T0</c:v>
                </c:pt>
                <c:pt idx="1">
                  <c:v>T1</c:v>
                </c:pt>
                <c:pt idx="2">
                  <c:v>T2</c:v>
                </c:pt>
                <c:pt idx="3">
                  <c:v> T3</c:v>
                </c:pt>
              </c:strCache>
            </c:strRef>
          </c:cat>
          <c:val>
            <c:numRef>
              <c:f>Sheet1!$B$5:$B$8</c:f>
              <c:numCache>
                <c:formatCode>General</c:formatCode>
                <c:ptCount val="4"/>
                <c:pt idx="0">
                  <c:v>6.6</c:v>
                </c:pt>
                <c:pt idx="1">
                  <c:v>6.1499999999999995</c:v>
                </c:pt>
                <c:pt idx="2">
                  <c:v>5.4</c:v>
                </c:pt>
                <c:pt idx="3">
                  <c:v>4.9800000000000004</c:v>
                </c:pt>
              </c:numCache>
            </c:numRef>
          </c:val>
        </c:ser>
        <c:ser>
          <c:idx val="1"/>
          <c:order val="1"/>
          <c:tx>
            <c:strRef>
              <c:f>Sheet1!$C$4</c:f>
              <c:strCache>
                <c:ptCount val="1"/>
                <c:pt idx="0">
                  <c:v>2 (Lactoserum)</c:v>
                </c:pt>
              </c:strCache>
            </c:strRef>
          </c:tx>
          <c:spPr>
            <a:ln w="12700">
              <a:solidFill>
                <a:srgbClr val="FF9900"/>
              </a:solidFill>
            </a:ln>
          </c:spPr>
          <c:marker>
            <c:symbol val="square"/>
            <c:size val="4"/>
            <c:spPr>
              <a:solidFill>
                <a:srgbClr val="FF9900"/>
              </a:solidFill>
              <a:ln>
                <a:solidFill>
                  <a:srgbClr val="FF9900"/>
                </a:solidFill>
              </a:ln>
            </c:spPr>
          </c:marker>
          <c:errBars>
            <c:errDir val="y"/>
            <c:errBarType val="both"/>
            <c:errValType val="cust"/>
            <c:plus>
              <c:numRef>
                <c:f>Sheet1!$I$6:$M$6</c:f>
                <c:numCache>
                  <c:formatCode>General</c:formatCode>
                  <c:ptCount val="5"/>
                  <c:pt idx="0">
                    <c:v>1.4E-2</c:v>
                  </c:pt>
                  <c:pt idx="1">
                    <c:v>2.3E-2</c:v>
                  </c:pt>
                  <c:pt idx="2">
                    <c:v>2.0000000000000011E-2</c:v>
                  </c:pt>
                  <c:pt idx="3">
                    <c:v>1.7999999999999999E-2</c:v>
                  </c:pt>
                  <c:pt idx="4">
                    <c:v>2.4E-2</c:v>
                  </c:pt>
                </c:numCache>
              </c:numRef>
            </c:plus>
            <c:minus>
              <c:numRef>
                <c:f>Sheet1!$I$6:$M$6</c:f>
                <c:numCache>
                  <c:formatCode>General</c:formatCode>
                  <c:ptCount val="5"/>
                  <c:pt idx="0">
                    <c:v>1.4E-2</c:v>
                  </c:pt>
                  <c:pt idx="1">
                    <c:v>2.3E-2</c:v>
                  </c:pt>
                  <c:pt idx="2">
                    <c:v>2.0000000000000011E-2</c:v>
                  </c:pt>
                  <c:pt idx="3">
                    <c:v>1.7999999999999999E-2</c:v>
                  </c:pt>
                  <c:pt idx="4">
                    <c:v>2.4E-2</c:v>
                  </c:pt>
                </c:numCache>
              </c:numRef>
            </c:minus>
          </c:errBars>
          <c:cat>
            <c:strRef>
              <c:f>Sheet1!$A$5:$A$8</c:f>
              <c:strCache>
                <c:ptCount val="4"/>
                <c:pt idx="0">
                  <c:v>T0</c:v>
                </c:pt>
                <c:pt idx="1">
                  <c:v>T1</c:v>
                </c:pt>
                <c:pt idx="2">
                  <c:v>T2</c:v>
                </c:pt>
                <c:pt idx="3">
                  <c:v> T3</c:v>
                </c:pt>
              </c:strCache>
            </c:strRef>
          </c:cat>
          <c:val>
            <c:numRef>
              <c:f>Sheet1!$C$5:$C$8</c:f>
              <c:numCache>
                <c:formatCode>General</c:formatCode>
                <c:ptCount val="4"/>
                <c:pt idx="0">
                  <c:v>6.26</c:v>
                </c:pt>
                <c:pt idx="1">
                  <c:v>5.6</c:v>
                </c:pt>
                <c:pt idx="2">
                  <c:v>5.0999999999999996</c:v>
                </c:pt>
                <c:pt idx="3">
                  <c:v>4.84</c:v>
                </c:pt>
              </c:numCache>
            </c:numRef>
          </c:val>
        </c:ser>
        <c:ser>
          <c:idx val="2"/>
          <c:order val="2"/>
          <c:tx>
            <c:strRef>
              <c:f>Sheet1!$D$4</c:f>
              <c:strCache>
                <c:ptCount val="1"/>
                <c:pt idx="0">
                  <c:v>3 (Promilk)</c:v>
                </c:pt>
              </c:strCache>
            </c:strRef>
          </c:tx>
          <c:spPr>
            <a:ln w="12700">
              <a:solidFill>
                <a:srgbClr val="92D050"/>
              </a:solidFill>
            </a:ln>
          </c:spPr>
          <c:marker>
            <c:spPr>
              <a:solidFill>
                <a:srgbClr val="92D050"/>
              </a:solidFill>
              <a:ln>
                <a:solidFill>
                  <a:srgbClr val="92D050"/>
                </a:solidFill>
              </a:ln>
            </c:spPr>
          </c:marker>
          <c:errBars>
            <c:errDir val="y"/>
            <c:errBarType val="both"/>
            <c:errValType val="cust"/>
            <c:plus>
              <c:numRef>
                <c:f>Sheet1!$I$7:$M$7</c:f>
                <c:numCache>
                  <c:formatCode>General</c:formatCode>
                  <c:ptCount val="5"/>
                  <c:pt idx="0">
                    <c:v>2.1999999999999999E-2</c:v>
                  </c:pt>
                  <c:pt idx="1">
                    <c:v>3.4000000000000002E-2</c:v>
                  </c:pt>
                  <c:pt idx="2">
                    <c:v>1.4999999999999998E-2</c:v>
                  </c:pt>
                  <c:pt idx="3">
                    <c:v>2.5000000000000001E-2</c:v>
                  </c:pt>
                  <c:pt idx="4">
                    <c:v>2.9000000000000001E-2</c:v>
                  </c:pt>
                </c:numCache>
              </c:numRef>
            </c:plus>
            <c:minus>
              <c:numRef>
                <c:f>Sheet1!$I$7:$M$7</c:f>
                <c:numCache>
                  <c:formatCode>General</c:formatCode>
                  <c:ptCount val="5"/>
                  <c:pt idx="0">
                    <c:v>2.1999999999999999E-2</c:v>
                  </c:pt>
                  <c:pt idx="1">
                    <c:v>3.4000000000000002E-2</c:v>
                  </c:pt>
                  <c:pt idx="2">
                    <c:v>1.4999999999999998E-2</c:v>
                  </c:pt>
                  <c:pt idx="3">
                    <c:v>2.5000000000000001E-2</c:v>
                  </c:pt>
                  <c:pt idx="4">
                    <c:v>2.9000000000000001E-2</c:v>
                  </c:pt>
                </c:numCache>
              </c:numRef>
            </c:minus>
          </c:errBars>
          <c:cat>
            <c:strRef>
              <c:f>Sheet1!$A$5:$A$8</c:f>
              <c:strCache>
                <c:ptCount val="4"/>
                <c:pt idx="0">
                  <c:v>T0</c:v>
                </c:pt>
                <c:pt idx="1">
                  <c:v>T1</c:v>
                </c:pt>
                <c:pt idx="2">
                  <c:v>T2</c:v>
                </c:pt>
                <c:pt idx="3">
                  <c:v> T3</c:v>
                </c:pt>
              </c:strCache>
            </c:strRef>
          </c:cat>
          <c:val>
            <c:numRef>
              <c:f>Sheet1!$D$5:$D$8</c:f>
              <c:numCache>
                <c:formatCode>General</c:formatCode>
                <c:ptCount val="4"/>
                <c:pt idx="0">
                  <c:v>6.58</c:v>
                </c:pt>
                <c:pt idx="1">
                  <c:v>5.94</c:v>
                </c:pt>
                <c:pt idx="2">
                  <c:v>5.34</c:v>
                </c:pt>
                <c:pt idx="3">
                  <c:v>4.9700000000000024</c:v>
                </c:pt>
              </c:numCache>
            </c:numRef>
          </c:val>
        </c:ser>
        <c:ser>
          <c:idx val="3"/>
          <c:order val="3"/>
          <c:tx>
            <c:strRef>
              <c:f>Sheet1!$E$4</c:f>
              <c:strCache>
                <c:ptCount val="1"/>
                <c:pt idx="0">
                  <c:v>4 (H. Caseine)</c:v>
                </c:pt>
              </c:strCache>
            </c:strRef>
          </c:tx>
          <c:spPr>
            <a:ln w="12700">
              <a:solidFill>
                <a:srgbClr val="990099"/>
              </a:solidFill>
            </a:ln>
          </c:spPr>
          <c:marker>
            <c:spPr>
              <a:solidFill>
                <a:srgbClr val="990099"/>
              </a:solidFill>
              <a:ln>
                <a:solidFill>
                  <a:srgbClr val="990099"/>
                </a:solidFill>
              </a:ln>
            </c:spPr>
          </c:marker>
          <c:errBars>
            <c:errDir val="y"/>
            <c:errBarType val="both"/>
            <c:errValType val="cust"/>
            <c:plus>
              <c:numRef>
                <c:f>Sheet1!$I$8:$M$8</c:f>
                <c:numCache>
                  <c:formatCode>General</c:formatCode>
                  <c:ptCount val="5"/>
                  <c:pt idx="0">
                    <c:v>9.0000000000000028E-3</c:v>
                  </c:pt>
                  <c:pt idx="1">
                    <c:v>1.9000000000000111E-2</c:v>
                  </c:pt>
                  <c:pt idx="2">
                    <c:v>2.7000000000000159E-2</c:v>
                  </c:pt>
                  <c:pt idx="3">
                    <c:v>1.4E-2</c:v>
                  </c:pt>
                  <c:pt idx="4">
                    <c:v>3.2000000000000042E-2</c:v>
                  </c:pt>
                </c:numCache>
              </c:numRef>
            </c:plus>
            <c:minus>
              <c:numRef>
                <c:f>Sheet1!$I$8:$M$8</c:f>
                <c:numCache>
                  <c:formatCode>General</c:formatCode>
                  <c:ptCount val="5"/>
                  <c:pt idx="0">
                    <c:v>9.0000000000000028E-3</c:v>
                  </c:pt>
                  <c:pt idx="1">
                    <c:v>1.9000000000000111E-2</c:v>
                  </c:pt>
                  <c:pt idx="2">
                    <c:v>2.7000000000000159E-2</c:v>
                  </c:pt>
                  <c:pt idx="3">
                    <c:v>1.4E-2</c:v>
                  </c:pt>
                  <c:pt idx="4">
                    <c:v>3.2000000000000042E-2</c:v>
                  </c:pt>
                </c:numCache>
              </c:numRef>
            </c:minus>
          </c:errBars>
          <c:cat>
            <c:strRef>
              <c:f>Sheet1!$A$5:$A$8</c:f>
              <c:strCache>
                <c:ptCount val="4"/>
                <c:pt idx="0">
                  <c:v>T0</c:v>
                </c:pt>
                <c:pt idx="1">
                  <c:v>T1</c:v>
                </c:pt>
                <c:pt idx="2">
                  <c:v>T2</c:v>
                </c:pt>
                <c:pt idx="3">
                  <c:v> T3</c:v>
                </c:pt>
              </c:strCache>
            </c:strRef>
          </c:cat>
          <c:val>
            <c:numRef>
              <c:f>Sheet1!$E$5:$E$8</c:f>
              <c:numCache>
                <c:formatCode>General</c:formatCode>
                <c:ptCount val="4"/>
                <c:pt idx="0">
                  <c:v>6.48</c:v>
                </c:pt>
                <c:pt idx="1">
                  <c:v>5.8</c:v>
                </c:pt>
                <c:pt idx="2">
                  <c:v>5.23</c:v>
                </c:pt>
                <c:pt idx="3">
                  <c:v>4.91</c:v>
                </c:pt>
              </c:numCache>
            </c:numRef>
          </c:val>
        </c:ser>
        <c:ser>
          <c:idx val="4"/>
          <c:order val="4"/>
          <c:tx>
            <c:strRef>
              <c:f>Sheet1!$F$4</c:f>
              <c:strCache>
                <c:ptCount val="1"/>
                <c:pt idx="0">
                  <c:v>5 (H. Proteine)</c:v>
                </c:pt>
              </c:strCache>
            </c:strRef>
          </c:tx>
          <c:spPr>
            <a:ln w="12700">
              <a:solidFill>
                <a:srgbClr val="FF33CC"/>
              </a:solidFill>
            </a:ln>
          </c:spPr>
          <c:marker>
            <c:symbol val="circle"/>
            <c:size val="4"/>
            <c:spPr>
              <a:solidFill>
                <a:srgbClr val="FF33CC"/>
              </a:solidFill>
              <a:ln>
                <a:solidFill>
                  <a:srgbClr val="FF33CC"/>
                </a:solidFill>
              </a:ln>
            </c:spPr>
          </c:marker>
          <c:cat>
            <c:strRef>
              <c:f>Sheet1!$A$5:$A$8</c:f>
              <c:strCache>
                <c:ptCount val="4"/>
                <c:pt idx="0">
                  <c:v>T0</c:v>
                </c:pt>
                <c:pt idx="1">
                  <c:v>T1</c:v>
                </c:pt>
                <c:pt idx="2">
                  <c:v>T2</c:v>
                </c:pt>
                <c:pt idx="3">
                  <c:v> T3</c:v>
                </c:pt>
              </c:strCache>
            </c:strRef>
          </c:cat>
          <c:val>
            <c:numRef>
              <c:f>Sheet1!$F$5:$F$8</c:f>
              <c:numCache>
                <c:formatCode>General</c:formatCode>
                <c:ptCount val="4"/>
                <c:pt idx="0">
                  <c:v>6.58</c:v>
                </c:pt>
                <c:pt idx="1">
                  <c:v>5.79</c:v>
                </c:pt>
                <c:pt idx="2">
                  <c:v>5.1899999999999995</c:v>
                </c:pt>
                <c:pt idx="3">
                  <c:v>4.96</c:v>
                </c:pt>
              </c:numCache>
            </c:numRef>
          </c:val>
        </c:ser>
        <c:marker val="1"/>
        <c:axId val="59892864"/>
        <c:axId val="59895168"/>
      </c:lineChart>
      <c:catAx>
        <c:axId val="59892864"/>
        <c:scaling>
          <c:orientation val="minMax"/>
        </c:scaling>
        <c:axPos val="b"/>
        <c:title>
          <c:tx>
            <c:rich>
              <a:bodyPr/>
              <a:lstStyle/>
              <a:p>
                <a:pPr>
                  <a:defRPr sz="1000" b="1" i="0" u="none" strike="noStrike" baseline="0">
                    <a:solidFill>
                      <a:srgbClr val="000000"/>
                    </a:solidFill>
                    <a:latin typeface="Times New Roman"/>
                    <a:ea typeface="Times New Roman"/>
                    <a:cs typeface="Times New Roman"/>
                  </a:defRPr>
                </a:pPr>
                <a:r>
                  <a:rPr lang="fr-FR"/>
                  <a:t>Temps(h)</a:t>
                </a:r>
              </a:p>
            </c:rich>
          </c:tx>
          <c:layout>
            <c:manualLayout>
              <c:xMode val="edge"/>
              <c:yMode val="edge"/>
              <c:x val="0.42715554495082081"/>
              <c:y val="0.92298243488794207"/>
            </c:manualLayout>
          </c:layout>
        </c:title>
        <c:numFmt formatCode="General" sourceLinked="1"/>
        <c:tickLblPos val="nextTo"/>
        <c:spPr>
          <a:ln w="9525">
            <a:solidFill>
              <a:sysClr val="windowText" lastClr="000000"/>
            </a:solidFill>
          </a:ln>
        </c:spPr>
        <c:txPr>
          <a:bodyPr rot="0" vert="horz"/>
          <a:lstStyle/>
          <a:p>
            <a:pPr>
              <a:defRPr sz="1000" b="1" i="0" u="none" strike="noStrike" baseline="0">
                <a:solidFill>
                  <a:srgbClr val="000000"/>
                </a:solidFill>
                <a:latin typeface="Calibri"/>
                <a:ea typeface="Calibri"/>
                <a:cs typeface="Calibri"/>
              </a:defRPr>
            </a:pPr>
            <a:endParaRPr lang="fr-FR"/>
          </a:p>
        </c:txPr>
        <c:crossAx val="59895168"/>
        <c:crosses val="autoZero"/>
        <c:auto val="1"/>
        <c:lblAlgn val="ctr"/>
        <c:lblOffset val="100"/>
      </c:catAx>
      <c:valAx>
        <c:axId val="59895168"/>
        <c:scaling>
          <c:orientation val="minMax"/>
          <c:max val="7"/>
          <c:min val="4.5"/>
        </c:scaling>
        <c:axPos val="l"/>
        <c:title>
          <c:tx>
            <c:rich>
              <a:bodyPr/>
              <a:lstStyle/>
              <a:p>
                <a:pPr>
                  <a:defRPr sz="1000" b="1" i="0" u="none" strike="noStrike" baseline="0">
                    <a:solidFill>
                      <a:srgbClr val="000000"/>
                    </a:solidFill>
                    <a:latin typeface="Times New Roman"/>
                    <a:ea typeface="Times New Roman"/>
                    <a:cs typeface="Times New Roman"/>
                  </a:defRPr>
                </a:pPr>
                <a:r>
                  <a:rPr lang="fr-FR"/>
                  <a:t>pH</a:t>
                </a:r>
              </a:p>
            </c:rich>
          </c:tx>
          <c:layout/>
        </c:title>
        <c:numFmt formatCode="General" sourceLinked="1"/>
        <c:tickLblPos val="nextTo"/>
        <c:spPr>
          <a:ln w="9525">
            <a:solidFill>
              <a:sysClr val="windowText" lastClr="000000"/>
            </a:solidFill>
          </a:ln>
        </c:spPr>
        <c:txPr>
          <a:bodyPr rot="0" vert="horz"/>
          <a:lstStyle/>
          <a:p>
            <a:pPr>
              <a:defRPr sz="1000" b="1" i="0" u="none" strike="noStrike" baseline="0">
                <a:solidFill>
                  <a:srgbClr val="000000"/>
                </a:solidFill>
                <a:latin typeface="Calibri"/>
                <a:ea typeface="Calibri"/>
                <a:cs typeface="Calibri"/>
              </a:defRPr>
            </a:pPr>
            <a:endParaRPr lang="fr-FR"/>
          </a:p>
        </c:txPr>
        <c:crossAx val="59892864"/>
        <c:crosses val="autoZero"/>
        <c:crossBetween val="midCat"/>
        <c:majorUnit val="0.5"/>
      </c:valAx>
    </c:plotArea>
    <c:plotVisOnly val="1"/>
    <c:dispBlanksAs val="gap"/>
  </c:chart>
  <c:spPr>
    <a:ln>
      <a:solidFill>
        <a:schemeClr val="bg1"/>
      </a:solidFill>
    </a:ln>
  </c:spPr>
  <c:txPr>
    <a:bodyPr/>
    <a:lstStyle/>
    <a:p>
      <a:pPr>
        <a:defRPr sz="1000" b="0" i="0" u="none" strike="noStrike" baseline="0">
          <a:solidFill>
            <a:srgbClr val="000000"/>
          </a:solidFill>
          <a:latin typeface="Calibri"/>
          <a:ea typeface="Calibri"/>
          <a:cs typeface="Calibri"/>
        </a:defRPr>
      </a:pPr>
      <a:endParaRPr lang="fr-FR"/>
    </a:p>
  </c:txPr>
  <c:externalData r:id="rId1"/>
  <c:userShapes r:id="rId2"/>
</c:chartSpace>
</file>

<file path=word/charts/chart33.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a:pPr>
            <a:r>
              <a:rPr lang="fr-FR" b="0"/>
              <a:t>C</a:t>
            </a:r>
          </a:p>
        </c:rich>
      </c:tx>
      <c:layout>
        <c:manualLayout>
          <c:xMode val="edge"/>
          <c:yMode val="edge"/>
          <c:x val="3.0301121450727851E-3"/>
          <c:y val="0"/>
        </c:manualLayout>
      </c:layout>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2532231569913056"/>
          <c:y val="9.1739492398063893E-2"/>
          <c:w val="0.61951828310617862"/>
          <c:h val="0.67296556920343664"/>
        </c:manualLayout>
      </c:layout>
      <c:lineChart>
        <c:grouping val="standard"/>
        <c:ser>
          <c:idx val="0"/>
          <c:order val="0"/>
          <c:tx>
            <c:strRef>
              <c:f>Feuil1!$B$2</c:f>
              <c:strCache>
                <c:ptCount val="1"/>
                <c:pt idx="0">
                  <c:v>Temoin</c:v>
                </c:pt>
              </c:strCache>
            </c:strRef>
          </c:tx>
          <c:spPr>
            <a:ln w="12700">
              <a:solidFill>
                <a:srgbClr val="0070C0"/>
              </a:solidFill>
            </a:ln>
          </c:spPr>
          <c:marker>
            <c:symbol val="diamond"/>
            <c:size val="5"/>
            <c:spPr>
              <a:solidFill>
                <a:schemeClr val="accent1"/>
              </a:solidFill>
              <a:ln>
                <a:solidFill>
                  <a:srgbClr val="0070C0"/>
                </a:solidFill>
              </a:ln>
            </c:spPr>
          </c:marker>
          <c:errBars>
            <c:errDir val="y"/>
            <c:errBarType val="both"/>
            <c:errValType val="cust"/>
            <c:plus>
              <c:numRef>
                <c:f>Feuil1!$I$3:$I$6</c:f>
                <c:numCache>
                  <c:formatCode>General</c:formatCode>
                  <c:ptCount val="4"/>
                  <c:pt idx="0">
                    <c:v>2.3E-2</c:v>
                  </c:pt>
                  <c:pt idx="1">
                    <c:v>2.4E-2</c:v>
                  </c:pt>
                  <c:pt idx="2">
                    <c:v>2.9000000000000001E-2</c:v>
                  </c:pt>
                  <c:pt idx="3">
                    <c:v>2.5999999999999999E-2</c:v>
                  </c:pt>
                </c:numCache>
              </c:numRef>
            </c:plus>
            <c:minus>
              <c:numRef>
                <c:f>Feuil1!$I$3:$I$6</c:f>
                <c:numCache>
                  <c:formatCode>General</c:formatCode>
                  <c:ptCount val="4"/>
                  <c:pt idx="0">
                    <c:v>2.3E-2</c:v>
                  </c:pt>
                  <c:pt idx="1">
                    <c:v>2.4E-2</c:v>
                  </c:pt>
                  <c:pt idx="2">
                    <c:v>2.9000000000000001E-2</c:v>
                  </c:pt>
                  <c:pt idx="3">
                    <c:v>2.5999999999999999E-2</c:v>
                  </c:pt>
                </c:numCache>
              </c:numRef>
            </c:minus>
          </c:errBars>
          <c:cat>
            <c:strRef>
              <c:f>Feuil1!$A$3:$A$6</c:f>
              <c:strCache>
                <c:ptCount val="4"/>
                <c:pt idx="0">
                  <c:v>T0</c:v>
                </c:pt>
                <c:pt idx="1">
                  <c:v>T1</c:v>
                </c:pt>
                <c:pt idx="2">
                  <c:v>T2</c:v>
                </c:pt>
                <c:pt idx="3">
                  <c:v> T3</c:v>
                </c:pt>
              </c:strCache>
            </c:strRef>
          </c:cat>
          <c:val>
            <c:numRef>
              <c:f>Feuil1!$B$3:$B$6</c:f>
              <c:numCache>
                <c:formatCode>General</c:formatCode>
                <c:ptCount val="4"/>
                <c:pt idx="0">
                  <c:v>6.6</c:v>
                </c:pt>
                <c:pt idx="1">
                  <c:v>6.14</c:v>
                </c:pt>
                <c:pt idx="2">
                  <c:v>5.39</c:v>
                </c:pt>
                <c:pt idx="3">
                  <c:v>4.95</c:v>
                </c:pt>
              </c:numCache>
            </c:numRef>
          </c:val>
        </c:ser>
        <c:ser>
          <c:idx val="1"/>
          <c:order val="1"/>
          <c:tx>
            <c:strRef>
              <c:f>Feuil1!$C$2</c:f>
              <c:strCache>
                <c:ptCount val="1"/>
                <c:pt idx="0">
                  <c:v>Lactoserum doux</c:v>
                </c:pt>
              </c:strCache>
            </c:strRef>
          </c:tx>
          <c:spPr>
            <a:ln w="12700">
              <a:solidFill>
                <a:srgbClr val="FF9900"/>
              </a:solidFill>
            </a:ln>
          </c:spPr>
          <c:marker>
            <c:symbol val="square"/>
            <c:size val="4"/>
            <c:spPr>
              <a:solidFill>
                <a:srgbClr val="FF9900"/>
              </a:solidFill>
              <a:ln>
                <a:solidFill>
                  <a:srgbClr val="FF9900"/>
                </a:solidFill>
              </a:ln>
            </c:spPr>
          </c:marker>
          <c:errBars>
            <c:errDir val="y"/>
            <c:errBarType val="both"/>
            <c:errValType val="cust"/>
            <c:plus>
              <c:numRef>
                <c:f>Feuil1!$J$3:$J$6</c:f>
                <c:numCache>
                  <c:formatCode>General</c:formatCode>
                  <c:ptCount val="4"/>
                  <c:pt idx="0">
                    <c:v>2.1000000000000012E-2</c:v>
                  </c:pt>
                  <c:pt idx="1">
                    <c:v>3.3000000000000002E-2</c:v>
                  </c:pt>
                  <c:pt idx="2">
                    <c:v>2.7000000000000128E-2</c:v>
                  </c:pt>
                  <c:pt idx="3">
                    <c:v>2.9000000000000001E-2</c:v>
                  </c:pt>
                </c:numCache>
              </c:numRef>
            </c:plus>
            <c:minus>
              <c:numRef>
                <c:f>Feuil1!$J$3:$J$6</c:f>
                <c:numCache>
                  <c:formatCode>General</c:formatCode>
                  <c:ptCount val="4"/>
                  <c:pt idx="0">
                    <c:v>2.1000000000000012E-2</c:v>
                  </c:pt>
                  <c:pt idx="1">
                    <c:v>3.3000000000000002E-2</c:v>
                  </c:pt>
                  <c:pt idx="2">
                    <c:v>2.7000000000000128E-2</c:v>
                  </c:pt>
                  <c:pt idx="3">
                    <c:v>2.9000000000000001E-2</c:v>
                  </c:pt>
                </c:numCache>
              </c:numRef>
            </c:minus>
          </c:errBars>
          <c:cat>
            <c:strRef>
              <c:f>Feuil1!$A$3:$A$6</c:f>
              <c:strCache>
                <c:ptCount val="4"/>
                <c:pt idx="0">
                  <c:v>T0</c:v>
                </c:pt>
                <c:pt idx="1">
                  <c:v>T1</c:v>
                </c:pt>
                <c:pt idx="2">
                  <c:v>T2</c:v>
                </c:pt>
                <c:pt idx="3">
                  <c:v> T3</c:v>
                </c:pt>
              </c:strCache>
            </c:strRef>
          </c:cat>
          <c:val>
            <c:numRef>
              <c:f>Feuil1!$C$3:$C$6</c:f>
              <c:numCache>
                <c:formatCode>General</c:formatCode>
                <c:ptCount val="4"/>
                <c:pt idx="0">
                  <c:v>6.24</c:v>
                </c:pt>
                <c:pt idx="1">
                  <c:v>5.64</c:v>
                </c:pt>
                <c:pt idx="2">
                  <c:v>5.0999999999999996</c:v>
                </c:pt>
                <c:pt idx="3">
                  <c:v>4.88</c:v>
                </c:pt>
              </c:numCache>
            </c:numRef>
          </c:val>
        </c:ser>
        <c:ser>
          <c:idx val="2"/>
          <c:order val="2"/>
          <c:tx>
            <c:strRef>
              <c:f>Feuil1!$D$2</c:f>
              <c:strCache>
                <c:ptCount val="1"/>
                <c:pt idx="0">
                  <c:v>Promilk</c:v>
                </c:pt>
              </c:strCache>
            </c:strRef>
          </c:tx>
          <c:spPr>
            <a:ln w="12700">
              <a:solidFill>
                <a:srgbClr val="92D050"/>
              </a:solidFill>
            </a:ln>
          </c:spPr>
          <c:marker>
            <c:symbol val="triangle"/>
            <c:size val="5"/>
            <c:spPr>
              <a:solidFill>
                <a:srgbClr val="92D050"/>
              </a:solidFill>
              <a:ln>
                <a:solidFill>
                  <a:srgbClr val="92D050"/>
                </a:solidFill>
              </a:ln>
            </c:spPr>
          </c:marker>
          <c:errBars>
            <c:errDir val="y"/>
            <c:errBarType val="both"/>
            <c:errValType val="cust"/>
            <c:plus>
              <c:numRef>
                <c:f>Feuil1!$K$3:$K$6</c:f>
                <c:numCache>
                  <c:formatCode>General</c:formatCode>
                  <c:ptCount val="4"/>
                  <c:pt idx="0">
                    <c:v>2.1000000000000012E-2</c:v>
                  </c:pt>
                  <c:pt idx="1">
                    <c:v>3.2000000000000042E-2</c:v>
                  </c:pt>
                  <c:pt idx="2">
                    <c:v>4.2000000000000023E-2</c:v>
                  </c:pt>
                  <c:pt idx="3">
                    <c:v>3.3000000000000002E-2</c:v>
                  </c:pt>
                </c:numCache>
              </c:numRef>
            </c:plus>
            <c:minus>
              <c:numRef>
                <c:f>Feuil1!$K$3:$K$6</c:f>
                <c:numCache>
                  <c:formatCode>General</c:formatCode>
                  <c:ptCount val="4"/>
                  <c:pt idx="0">
                    <c:v>2.1000000000000012E-2</c:v>
                  </c:pt>
                  <c:pt idx="1">
                    <c:v>3.2000000000000042E-2</c:v>
                  </c:pt>
                  <c:pt idx="2">
                    <c:v>4.2000000000000023E-2</c:v>
                  </c:pt>
                  <c:pt idx="3">
                    <c:v>3.3000000000000002E-2</c:v>
                  </c:pt>
                </c:numCache>
              </c:numRef>
            </c:minus>
          </c:errBars>
          <c:cat>
            <c:strRef>
              <c:f>Feuil1!$A$3:$A$6</c:f>
              <c:strCache>
                <c:ptCount val="4"/>
                <c:pt idx="0">
                  <c:v>T0</c:v>
                </c:pt>
                <c:pt idx="1">
                  <c:v>T1</c:v>
                </c:pt>
                <c:pt idx="2">
                  <c:v>T2</c:v>
                </c:pt>
                <c:pt idx="3">
                  <c:v> T3</c:v>
                </c:pt>
              </c:strCache>
            </c:strRef>
          </c:cat>
          <c:val>
            <c:numRef>
              <c:f>Feuil1!$D$3:$D$6</c:f>
              <c:numCache>
                <c:formatCode>General</c:formatCode>
                <c:ptCount val="4"/>
                <c:pt idx="0">
                  <c:v>6.59</c:v>
                </c:pt>
                <c:pt idx="1">
                  <c:v>5.92</c:v>
                </c:pt>
                <c:pt idx="2">
                  <c:v>5.3199999999999985</c:v>
                </c:pt>
                <c:pt idx="3">
                  <c:v>4.9700000000000024</c:v>
                </c:pt>
              </c:numCache>
            </c:numRef>
          </c:val>
        </c:ser>
        <c:ser>
          <c:idx val="3"/>
          <c:order val="3"/>
          <c:tx>
            <c:strRef>
              <c:f>Feuil1!$E$2</c:f>
              <c:strCache>
                <c:ptCount val="1"/>
                <c:pt idx="0">
                  <c:v>4 (H. Caseine)</c:v>
                </c:pt>
              </c:strCache>
            </c:strRef>
          </c:tx>
          <c:spPr>
            <a:ln w="12700">
              <a:solidFill>
                <a:srgbClr val="990099"/>
              </a:solidFill>
            </a:ln>
          </c:spPr>
          <c:marker>
            <c:symbol val="x"/>
            <c:size val="4"/>
            <c:spPr>
              <a:solidFill>
                <a:srgbClr val="990099"/>
              </a:solidFill>
              <a:ln>
                <a:solidFill>
                  <a:srgbClr val="990099"/>
                </a:solidFill>
              </a:ln>
            </c:spPr>
          </c:marker>
          <c:errBars>
            <c:errDir val="y"/>
            <c:errBarType val="both"/>
            <c:errValType val="cust"/>
            <c:plus>
              <c:numRef>
                <c:f>Feuil1!$L$3:$L$6</c:f>
                <c:numCache>
                  <c:formatCode>General</c:formatCode>
                  <c:ptCount val="4"/>
                  <c:pt idx="0">
                    <c:v>2.3E-2</c:v>
                  </c:pt>
                  <c:pt idx="1">
                    <c:v>2.7000000000000128E-2</c:v>
                  </c:pt>
                  <c:pt idx="2">
                    <c:v>3.9000000000000014E-2</c:v>
                  </c:pt>
                  <c:pt idx="3">
                    <c:v>1.4999999999999998E-2</c:v>
                  </c:pt>
                </c:numCache>
              </c:numRef>
            </c:plus>
            <c:minus>
              <c:numRef>
                <c:f>Feuil1!$L$3:$L$6</c:f>
                <c:numCache>
                  <c:formatCode>General</c:formatCode>
                  <c:ptCount val="4"/>
                  <c:pt idx="0">
                    <c:v>2.3E-2</c:v>
                  </c:pt>
                  <c:pt idx="1">
                    <c:v>2.7000000000000128E-2</c:v>
                  </c:pt>
                  <c:pt idx="2">
                    <c:v>3.9000000000000014E-2</c:v>
                  </c:pt>
                  <c:pt idx="3">
                    <c:v>1.4999999999999998E-2</c:v>
                  </c:pt>
                </c:numCache>
              </c:numRef>
            </c:minus>
          </c:errBars>
          <c:cat>
            <c:strRef>
              <c:f>Feuil1!$A$3:$A$6</c:f>
              <c:strCache>
                <c:ptCount val="4"/>
                <c:pt idx="0">
                  <c:v>T0</c:v>
                </c:pt>
                <c:pt idx="1">
                  <c:v>T1</c:v>
                </c:pt>
                <c:pt idx="2">
                  <c:v>T2</c:v>
                </c:pt>
                <c:pt idx="3">
                  <c:v> T3</c:v>
                </c:pt>
              </c:strCache>
            </c:strRef>
          </c:cat>
          <c:val>
            <c:numRef>
              <c:f>Feuil1!$E$3:$E$6</c:f>
              <c:numCache>
                <c:formatCode>General</c:formatCode>
                <c:ptCount val="4"/>
                <c:pt idx="0">
                  <c:v>6.4700000000000024</c:v>
                </c:pt>
                <c:pt idx="1">
                  <c:v>5.84</c:v>
                </c:pt>
                <c:pt idx="2">
                  <c:v>5.23</c:v>
                </c:pt>
                <c:pt idx="3">
                  <c:v>4.8899999999999997</c:v>
                </c:pt>
              </c:numCache>
            </c:numRef>
          </c:val>
        </c:ser>
        <c:ser>
          <c:idx val="4"/>
          <c:order val="4"/>
          <c:tx>
            <c:strRef>
              <c:f>Feuil1!$F$2</c:f>
              <c:strCache>
                <c:ptCount val="1"/>
                <c:pt idx="0">
                  <c:v>C. Proteine</c:v>
                </c:pt>
              </c:strCache>
            </c:strRef>
          </c:tx>
          <c:spPr>
            <a:ln w="12700">
              <a:solidFill>
                <a:srgbClr val="FF33CC"/>
              </a:solidFill>
            </a:ln>
          </c:spPr>
          <c:marker>
            <c:symbol val="circle"/>
            <c:size val="3"/>
            <c:spPr>
              <a:solidFill>
                <a:srgbClr val="FF33CC"/>
              </a:solidFill>
              <a:ln>
                <a:solidFill>
                  <a:srgbClr val="FF33CC"/>
                </a:solidFill>
              </a:ln>
            </c:spPr>
          </c:marker>
          <c:errBars>
            <c:errDir val="y"/>
            <c:errBarType val="both"/>
            <c:errValType val="cust"/>
            <c:plus>
              <c:numRef>
                <c:f>Feuil1!$M$3:$M$6</c:f>
                <c:numCache>
                  <c:formatCode>General</c:formatCode>
                  <c:ptCount val="4"/>
                  <c:pt idx="0">
                    <c:v>2.1999999999999999E-2</c:v>
                  </c:pt>
                  <c:pt idx="1">
                    <c:v>1.9000000000000093E-2</c:v>
                  </c:pt>
                  <c:pt idx="2">
                    <c:v>1.6000000000000021E-2</c:v>
                  </c:pt>
                  <c:pt idx="3">
                    <c:v>1.9000000000000093E-2</c:v>
                  </c:pt>
                </c:numCache>
              </c:numRef>
            </c:plus>
            <c:minus>
              <c:numRef>
                <c:f>Feuil1!$M$3:$M$6</c:f>
                <c:numCache>
                  <c:formatCode>General</c:formatCode>
                  <c:ptCount val="4"/>
                  <c:pt idx="0">
                    <c:v>2.1999999999999999E-2</c:v>
                  </c:pt>
                  <c:pt idx="1">
                    <c:v>1.9000000000000093E-2</c:v>
                  </c:pt>
                  <c:pt idx="2">
                    <c:v>1.6000000000000021E-2</c:v>
                  </c:pt>
                  <c:pt idx="3">
                    <c:v>1.9000000000000093E-2</c:v>
                  </c:pt>
                </c:numCache>
              </c:numRef>
            </c:minus>
            <c:spPr>
              <a:ln w="3175">
                <a:solidFill>
                  <a:srgbClr val="000000"/>
                </a:solidFill>
                <a:prstDash val="solid"/>
              </a:ln>
            </c:spPr>
          </c:errBars>
          <c:cat>
            <c:strRef>
              <c:f>Feuil1!$A$3:$A$6</c:f>
              <c:strCache>
                <c:ptCount val="4"/>
                <c:pt idx="0">
                  <c:v>T0</c:v>
                </c:pt>
                <c:pt idx="1">
                  <c:v>T1</c:v>
                </c:pt>
                <c:pt idx="2">
                  <c:v>T2</c:v>
                </c:pt>
                <c:pt idx="3">
                  <c:v> T3</c:v>
                </c:pt>
              </c:strCache>
            </c:strRef>
          </c:cat>
          <c:val>
            <c:numRef>
              <c:f>Feuil1!$F$3:$F$6</c:f>
              <c:numCache>
                <c:formatCode>General</c:formatCode>
                <c:ptCount val="4"/>
                <c:pt idx="0">
                  <c:v>6.58</c:v>
                </c:pt>
                <c:pt idx="1">
                  <c:v>5.7700000000000014</c:v>
                </c:pt>
                <c:pt idx="2">
                  <c:v>5.18</c:v>
                </c:pt>
                <c:pt idx="3">
                  <c:v>4.9300000000000024</c:v>
                </c:pt>
              </c:numCache>
            </c:numRef>
          </c:val>
        </c:ser>
        <c:marker val="1"/>
        <c:axId val="60468608"/>
        <c:axId val="60478976"/>
      </c:lineChart>
      <c:catAx>
        <c:axId val="60468608"/>
        <c:scaling>
          <c:orientation val="minMax"/>
        </c:scaling>
        <c:axPos val="b"/>
        <c:title>
          <c:tx>
            <c:rich>
              <a:bodyPr/>
              <a:lstStyle/>
              <a:p>
                <a:pPr>
                  <a:defRPr/>
                </a:pPr>
                <a:r>
                  <a:rPr lang="en-US"/>
                  <a:t>  Temps (h)</a:t>
                </a:r>
              </a:p>
            </c:rich>
          </c:tx>
          <c:layout>
            <c:manualLayout>
              <c:xMode val="edge"/>
              <c:yMode val="edge"/>
              <c:x val="0.41278644351965837"/>
              <c:y val="0.91427264069867464"/>
            </c:manualLayout>
          </c:layout>
        </c:title>
        <c:numFmt formatCode="General" sourceLinked="1"/>
        <c:tickLblPos val="nextTo"/>
        <c:spPr>
          <a:ln w="9525">
            <a:solidFill>
              <a:schemeClr val="tx1"/>
            </a:solidFill>
          </a:ln>
        </c:spPr>
        <c:txPr>
          <a:bodyPr/>
          <a:lstStyle/>
          <a:p>
            <a:pPr>
              <a:defRPr b="1" i="0" baseline="0"/>
            </a:pPr>
            <a:endParaRPr lang="fr-FR"/>
          </a:p>
        </c:txPr>
        <c:crossAx val="60478976"/>
        <c:crosses val="autoZero"/>
        <c:auto val="1"/>
        <c:lblAlgn val="ctr"/>
        <c:lblOffset val="100"/>
      </c:catAx>
      <c:valAx>
        <c:axId val="60478976"/>
        <c:scaling>
          <c:orientation val="minMax"/>
          <c:min val="4"/>
        </c:scaling>
        <c:axPos val="l"/>
        <c:title>
          <c:tx>
            <c:rich>
              <a:bodyPr rot="-5400000" vert="horz"/>
              <a:lstStyle/>
              <a:p>
                <a:pPr>
                  <a:defRPr/>
                </a:pPr>
                <a:r>
                  <a:rPr lang="en-US"/>
                  <a:t>pH</a:t>
                </a:r>
              </a:p>
            </c:rich>
          </c:tx>
          <c:layout/>
        </c:title>
        <c:numFmt formatCode="General" sourceLinked="1"/>
        <c:tickLblPos val="nextTo"/>
        <c:spPr>
          <a:ln w="9525">
            <a:solidFill>
              <a:schemeClr val="tx1"/>
            </a:solidFill>
          </a:ln>
        </c:spPr>
        <c:txPr>
          <a:bodyPr/>
          <a:lstStyle/>
          <a:p>
            <a:pPr>
              <a:defRPr b="1" i="0" baseline="0"/>
            </a:pPr>
            <a:endParaRPr lang="fr-FR"/>
          </a:p>
        </c:txPr>
        <c:crossAx val="60468608"/>
        <c:crosses val="autoZero"/>
        <c:crossBetween val="midCat"/>
        <c:majorUnit val="0.5"/>
      </c:valAx>
    </c:plotArea>
    <c:plotVisOnly val="1"/>
    <c:dispBlanksAs val="gap"/>
  </c:chart>
  <c:spPr>
    <a:ln>
      <a:solidFill>
        <a:schemeClr val="bg1"/>
      </a:solidFill>
    </a:ln>
  </c:spPr>
  <c:txPr>
    <a:bodyPr/>
    <a:lstStyle/>
    <a:p>
      <a:pPr>
        <a:defRPr>
          <a:latin typeface="Times New Roman" pitchFamily="18" charset="0"/>
          <a:cs typeface="Times New Roman" pitchFamily="18" charset="0"/>
        </a:defRPr>
      </a:pPr>
      <a:endParaRPr lang="fr-FR"/>
    </a:p>
  </c:txPr>
  <c:externalData r:id="rId1"/>
  <c:userShapes r:id="rId2"/>
</c:chartSpace>
</file>

<file path=word/charts/chart34.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a:pPr>
            <a:r>
              <a:rPr lang="fr-FR" sz="1800">
                <a:latin typeface="Times New Roman" pitchFamily="18" charset="0"/>
                <a:cs typeface="Times New Roman" pitchFamily="18" charset="0"/>
              </a:rPr>
              <a:t>A</a:t>
            </a:r>
          </a:p>
        </c:rich>
      </c:tx>
      <c:layout>
        <c:manualLayout>
          <c:xMode val="edge"/>
          <c:yMode val="edge"/>
          <c:x val="5.0829320492241994E-3"/>
          <c:y val="0"/>
        </c:manualLayout>
      </c:layout>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20857406496062988"/>
          <c:y val="5.4717476353191907E-2"/>
          <c:w val="0.72444415522439864"/>
          <c:h val="0.73776259099688013"/>
        </c:manualLayout>
      </c:layout>
      <c:lineChart>
        <c:grouping val="standard"/>
        <c:ser>
          <c:idx val="0"/>
          <c:order val="0"/>
          <c:tx>
            <c:strRef>
              <c:f>Sheet1!$B$4</c:f>
              <c:strCache>
                <c:ptCount val="1"/>
                <c:pt idx="0">
                  <c:v>1 (Temoin)</c:v>
                </c:pt>
              </c:strCache>
            </c:strRef>
          </c:tx>
          <c:spPr>
            <a:ln w="12700"/>
          </c:spPr>
          <c:errBars>
            <c:errDir val="y"/>
            <c:errBarType val="both"/>
            <c:errValType val="cust"/>
            <c:plus>
              <c:numRef>
                <c:f>Sheet1!$I$5:$M$5</c:f>
                <c:numCache>
                  <c:formatCode>General</c:formatCode>
                  <c:ptCount val="5"/>
                  <c:pt idx="0">
                    <c:v>1.7999999999999999E-2</c:v>
                  </c:pt>
                  <c:pt idx="1">
                    <c:v>2.0000000000000011E-2</c:v>
                  </c:pt>
                  <c:pt idx="2">
                    <c:v>9.0000000000000028E-3</c:v>
                  </c:pt>
                  <c:pt idx="3">
                    <c:v>1.7000000000000001E-2</c:v>
                  </c:pt>
                  <c:pt idx="4">
                    <c:v>2.1000000000000012E-2</c:v>
                  </c:pt>
                </c:numCache>
              </c:numRef>
            </c:plus>
            <c:minus>
              <c:numRef>
                <c:f>Sheet1!$I$5:$M$5</c:f>
                <c:numCache>
                  <c:formatCode>General</c:formatCode>
                  <c:ptCount val="5"/>
                  <c:pt idx="0">
                    <c:v>1.7999999999999999E-2</c:v>
                  </c:pt>
                  <c:pt idx="1">
                    <c:v>2.0000000000000011E-2</c:v>
                  </c:pt>
                  <c:pt idx="2">
                    <c:v>9.0000000000000028E-3</c:v>
                  </c:pt>
                  <c:pt idx="3">
                    <c:v>1.7000000000000001E-2</c:v>
                  </c:pt>
                  <c:pt idx="4">
                    <c:v>2.1000000000000012E-2</c:v>
                  </c:pt>
                </c:numCache>
              </c:numRef>
            </c:minus>
          </c:errBars>
          <c:cat>
            <c:strRef>
              <c:f>Sheet1!$A$5:$A$8</c:f>
              <c:strCache>
                <c:ptCount val="4"/>
                <c:pt idx="0">
                  <c:v>T0</c:v>
                </c:pt>
                <c:pt idx="1">
                  <c:v>T1</c:v>
                </c:pt>
                <c:pt idx="2">
                  <c:v>T2</c:v>
                </c:pt>
                <c:pt idx="3">
                  <c:v> T3</c:v>
                </c:pt>
              </c:strCache>
            </c:strRef>
          </c:cat>
          <c:val>
            <c:numRef>
              <c:f>Sheet1!$B$5:$B$8</c:f>
              <c:numCache>
                <c:formatCode>General</c:formatCode>
                <c:ptCount val="4"/>
                <c:pt idx="0">
                  <c:v>6.6</c:v>
                </c:pt>
                <c:pt idx="1">
                  <c:v>6.1499999999999995</c:v>
                </c:pt>
                <c:pt idx="2">
                  <c:v>5.41</c:v>
                </c:pt>
                <c:pt idx="3">
                  <c:v>4.99</c:v>
                </c:pt>
              </c:numCache>
            </c:numRef>
          </c:val>
        </c:ser>
        <c:ser>
          <c:idx val="1"/>
          <c:order val="1"/>
          <c:tx>
            <c:strRef>
              <c:f>Sheet1!$C$4</c:f>
              <c:strCache>
                <c:ptCount val="1"/>
                <c:pt idx="0">
                  <c:v>2 (Lactoserum)</c:v>
                </c:pt>
              </c:strCache>
            </c:strRef>
          </c:tx>
          <c:spPr>
            <a:ln w="12700">
              <a:solidFill>
                <a:srgbClr val="FF9900"/>
              </a:solidFill>
            </a:ln>
          </c:spPr>
          <c:marker>
            <c:symbol val="square"/>
            <c:size val="4"/>
            <c:spPr>
              <a:solidFill>
                <a:srgbClr val="FF9900"/>
              </a:solidFill>
              <a:ln>
                <a:solidFill>
                  <a:srgbClr val="FF9900"/>
                </a:solidFill>
              </a:ln>
            </c:spPr>
          </c:marker>
          <c:errBars>
            <c:errDir val="y"/>
            <c:errBarType val="both"/>
            <c:errValType val="cust"/>
            <c:plus>
              <c:numRef>
                <c:f>Sheet1!$I$6:$M$6</c:f>
                <c:numCache>
                  <c:formatCode>General</c:formatCode>
                  <c:ptCount val="5"/>
                  <c:pt idx="0">
                    <c:v>3.1000000000000052E-2</c:v>
                  </c:pt>
                  <c:pt idx="1">
                    <c:v>2.1000000000000012E-2</c:v>
                  </c:pt>
                  <c:pt idx="2">
                    <c:v>2.9000000000000001E-2</c:v>
                  </c:pt>
                  <c:pt idx="3">
                    <c:v>3.3000000000000002E-2</c:v>
                  </c:pt>
                  <c:pt idx="4">
                    <c:v>2.1999999999999999E-2</c:v>
                  </c:pt>
                </c:numCache>
              </c:numRef>
            </c:plus>
            <c:minus>
              <c:numRef>
                <c:f>Sheet1!$I$6:$M$6</c:f>
                <c:numCache>
                  <c:formatCode>General</c:formatCode>
                  <c:ptCount val="5"/>
                  <c:pt idx="0">
                    <c:v>3.1000000000000052E-2</c:v>
                  </c:pt>
                  <c:pt idx="1">
                    <c:v>2.1000000000000012E-2</c:v>
                  </c:pt>
                  <c:pt idx="2">
                    <c:v>2.9000000000000001E-2</c:v>
                  </c:pt>
                  <c:pt idx="3">
                    <c:v>3.3000000000000002E-2</c:v>
                  </c:pt>
                  <c:pt idx="4">
                    <c:v>2.1999999999999999E-2</c:v>
                  </c:pt>
                </c:numCache>
              </c:numRef>
            </c:minus>
          </c:errBars>
          <c:cat>
            <c:strRef>
              <c:f>Sheet1!$A$5:$A$8</c:f>
              <c:strCache>
                <c:ptCount val="4"/>
                <c:pt idx="0">
                  <c:v>T0</c:v>
                </c:pt>
                <c:pt idx="1">
                  <c:v>T1</c:v>
                </c:pt>
                <c:pt idx="2">
                  <c:v>T2</c:v>
                </c:pt>
                <c:pt idx="3">
                  <c:v> T3</c:v>
                </c:pt>
              </c:strCache>
            </c:strRef>
          </c:cat>
          <c:val>
            <c:numRef>
              <c:f>Sheet1!$C$5:$C$8</c:f>
              <c:numCache>
                <c:formatCode>General</c:formatCode>
                <c:ptCount val="4"/>
                <c:pt idx="0">
                  <c:v>6.24</c:v>
                </c:pt>
                <c:pt idx="1">
                  <c:v>5.64</c:v>
                </c:pt>
                <c:pt idx="2">
                  <c:v>5.1099999999999985</c:v>
                </c:pt>
                <c:pt idx="3">
                  <c:v>4.84</c:v>
                </c:pt>
              </c:numCache>
            </c:numRef>
          </c:val>
        </c:ser>
        <c:ser>
          <c:idx val="2"/>
          <c:order val="2"/>
          <c:tx>
            <c:strRef>
              <c:f>Sheet1!$D$4</c:f>
              <c:strCache>
                <c:ptCount val="1"/>
                <c:pt idx="0">
                  <c:v>3 (Promilk)</c:v>
                </c:pt>
              </c:strCache>
            </c:strRef>
          </c:tx>
          <c:spPr>
            <a:ln w="12700">
              <a:solidFill>
                <a:srgbClr val="92D050"/>
              </a:solidFill>
            </a:ln>
          </c:spPr>
          <c:marker>
            <c:spPr>
              <a:solidFill>
                <a:srgbClr val="92D050"/>
              </a:solidFill>
              <a:ln>
                <a:solidFill>
                  <a:srgbClr val="92D050"/>
                </a:solidFill>
              </a:ln>
            </c:spPr>
          </c:marker>
          <c:errBars>
            <c:errDir val="y"/>
            <c:errBarType val="both"/>
            <c:errValType val="cust"/>
            <c:plus>
              <c:numRef>
                <c:f>Sheet1!$I$7:$M$7</c:f>
                <c:numCache>
                  <c:formatCode>General</c:formatCode>
                  <c:ptCount val="5"/>
                  <c:pt idx="0">
                    <c:v>3.6999999999999998E-2</c:v>
                  </c:pt>
                  <c:pt idx="1">
                    <c:v>3.2000000000000042E-2</c:v>
                  </c:pt>
                  <c:pt idx="2">
                    <c:v>4.5000000000000012E-2</c:v>
                  </c:pt>
                  <c:pt idx="3">
                    <c:v>3.4000000000000002E-2</c:v>
                  </c:pt>
                  <c:pt idx="4">
                    <c:v>1.9000000000000111E-2</c:v>
                  </c:pt>
                </c:numCache>
              </c:numRef>
            </c:plus>
            <c:minus>
              <c:numRef>
                <c:f>Sheet1!$I$7:$M$7</c:f>
                <c:numCache>
                  <c:formatCode>General</c:formatCode>
                  <c:ptCount val="5"/>
                  <c:pt idx="0">
                    <c:v>3.6999999999999998E-2</c:v>
                  </c:pt>
                  <c:pt idx="1">
                    <c:v>3.2000000000000042E-2</c:v>
                  </c:pt>
                  <c:pt idx="2">
                    <c:v>4.5000000000000012E-2</c:v>
                  </c:pt>
                  <c:pt idx="3">
                    <c:v>3.4000000000000002E-2</c:v>
                  </c:pt>
                  <c:pt idx="4">
                    <c:v>1.9000000000000111E-2</c:v>
                  </c:pt>
                </c:numCache>
              </c:numRef>
            </c:minus>
          </c:errBars>
          <c:cat>
            <c:strRef>
              <c:f>Sheet1!$A$5:$A$8</c:f>
              <c:strCache>
                <c:ptCount val="4"/>
                <c:pt idx="0">
                  <c:v>T0</c:v>
                </c:pt>
                <c:pt idx="1">
                  <c:v>T1</c:v>
                </c:pt>
                <c:pt idx="2">
                  <c:v>T2</c:v>
                </c:pt>
                <c:pt idx="3">
                  <c:v> T3</c:v>
                </c:pt>
              </c:strCache>
            </c:strRef>
          </c:cat>
          <c:val>
            <c:numRef>
              <c:f>Sheet1!$D$5:$D$8</c:f>
              <c:numCache>
                <c:formatCode>General</c:formatCode>
                <c:ptCount val="4"/>
                <c:pt idx="0">
                  <c:v>6.57</c:v>
                </c:pt>
                <c:pt idx="1">
                  <c:v>5.92</c:v>
                </c:pt>
                <c:pt idx="2">
                  <c:v>5.33</c:v>
                </c:pt>
                <c:pt idx="3">
                  <c:v>4.9300000000000024</c:v>
                </c:pt>
              </c:numCache>
            </c:numRef>
          </c:val>
        </c:ser>
        <c:ser>
          <c:idx val="3"/>
          <c:order val="3"/>
          <c:tx>
            <c:strRef>
              <c:f>Sheet1!$E$4</c:f>
              <c:strCache>
                <c:ptCount val="1"/>
                <c:pt idx="0">
                  <c:v>4 (H. Caseine)</c:v>
                </c:pt>
              </c:strCache>
            </c:strRef>
          </c:tx>
          <c:spPr>
            <a:ln w="12700">
              <a:solidFill>
                <a:srgbClr val="990099"/>
              </a:solidFill>
            </a:ln>
          </c:spPr>
          <c:marker>
            <c:spPr>
              <a:solidFill>
                <a:srgbClr val="990099"/>
              </a:solidFill>
              <a:ln>
                <a:solidFill>
                  <a:srgbClr val="990099"/>
                </a:solidFill>
              </a:ln>
            </c:spPr>
          </c:marker>
          <c:errBars>
            <c:errDir val="y"/>
            <c:errBarType val="both"/>
            <c:errValType val="cust"/>
            <c:plus>
              <c:numRef>
                <c:f>Sheet1!$I$8:$M$8</c:f>
                <c:numCache>
                  <c:formatCode>General</c:formatCode>
                  <c:ptCount val="5"/>
                  <c:pt idx="0">
                    <c:v>2.1000000000000012E-2</c:v>
                  </c:pt>
                  <c:pt idx="1">
                    <c:v>3.0000000000000002E-2</c:v>
                  </c:pt>
                  <c:pt idx="2">
                    <c:v>1.4999999999999998E-2</c:v>
                  </c:pt>
                  <c:pt idx="3">
                    <c:v>1.7000000000000001E-2</c:v>
                  </c:pt>
                  <c:pt idx="4">
                    <c:v>1.9000000000000111E-2</c:v>
                  </c:pt>
                </c:numCache>
              </c:numRef>
            </c:plus>
            <c:minus>
              <c:numRef>
                <c:f>Sheet1!$I$8:$M$8</c:f>
                <c:numCache>
                  <c:formatCode>General</c:formatCode>
                  <c:ptCount val="5"/>
                  <c:pt idx="0">
                    <c:v>2.1000000000000012E-2</c:v>
                  </c:pt>
                  <c:pt idx="1">
                    <c:v>3.0000000000000002E-2</c:v>
                  </c:pt>
                  <c:pt idx="2">
                    <c:v>1.4999999999999998E-2</c:v>
                  </c:pt>
                  <c:pt idx="3">
                    <c:v>1.7000000000000001E-2</c:v>
                  </c:pt>
                  <c:pt idx="4">
                    <c:v>1.9000000000000111E-2</c:v>
                  </c:pt>
                </c:numCache>
              </c:numRef>
            </c:minus>
          </c:errBars>
          <c:cat>
            <c:strRef>
              <c:f>Sheet1!$A$5:$A$8</c:f>
              <c:strCache>
                <c:ptCount val="4"/>
                <c:pt idx="0">
                  <c:v>T0</c:v>
                </c:pt>
                <c:pt idx="1">
                  <c:v>T1</c:v>
                </c:pt>
                <c:pt idx="2">
                  <c:v>T2</c:v>
                </c:pt>
                <c:pt idx="3">
                  <c:v> T3</c:v>
                </c:pt>
              </c:strCache>
            </c:strRef>
          </c:cat>
          <c:val>
            <c:numRef>
              <c:f>Sheet1!$E$5:$E$8</c:f>
              <c:numCache>
                <c:formatCode>General</c:formatCode>
                <c:ptCount val="4"/>
                <c:pt idx="0">
                  <c:v>6.5</c:v>
                </c:pt>
                <c:pt idx="1">
                  <c:v>5.8199999999999985</c:v>
                </c:pt>
                <c:pt idx="2">
                  <c:v>5.24</c:v>
                </c:pt>
                <c:pt idx="3">
                  <c:v>4.9000000000000004</c:v>
                </c:pt>
              </c:numCache>
            </c:numRef>
          </c:val>
        </c:ser>
        <c:ser>
          <c:idx val="4"/>
          <c:order val="4"/>
          <c:tx>
            <c:strRef>
              <c:f>Sheet1!$F$4</c:f>
              <c:strCache>
                <c:ptCount val="1"/>
                <c:pt idx="0">
                  <c:v>5 (H. Proteine)</c:v>
                </c:pt>
              </c:strCache>
            </c:strRef>
          </c:tx>
          <c:spPr>
            <a:ln w="12700">
              <a:solidFill>
                <a:srgbClr val="FF33CC"/>
              </a:solidFill>
            </a:ln>
          </c:spPr>
          <c:marker>
            <c:symbol val="star"/>
            <c:size val="4"/>
            <c:spPr>
              <a:solidFill>
                <a:srgbClr val="FF33CC"/>
              </a:solidFill>
              <a:ln>
                <a:solidFill>
                  <a:srgbClr val="FF33CC"/>
                </a:solidFill>
              </a:ln>
            </c:spPr>
          </c:marker>
          <c:cat>
            <c:strRef>
              <c:f>Sheet1!$A$5:$A$8</c:f>
              <c:strCache>
                <c:ptCount val="4"/>
                <c:pt idx="0">
                  <c:v>T0</c:v>
                </c:pt>
                <c:pt idx="1">
                  <c:v>T1</c:v>
                </c:pt>
                <c:pt idx="2">
                  <c:v>T2</c:v>
                </c:pt>
                <c:pt idx="3">
                  <c:v> T3</c:v>
                </c:pt>
              </c:strCache>
            </c:strRef>
          </c:cat>
          <c:val>
            <c:numRef>
              <c:f>Sheet1!$F$5:$F$8</c:f>
              <c:numCache>
                <c:formatCode>General</c:formatCode>
                <c:ptCount val="4"/>
                <c:pt idx="0">
                  <c:v>6.55</c:v>
                </c:pt>
                <c:pt idx="1">
                  <c:v>5.79</c:v>
                </c:pt>
                <c:pt idx="2">
                  <c:v>5.1899999999999995</c:v>
                </c:pt>
                <c:pt idx="3">
                  <c:v>4.9400000000000004</c:v>
                </c:pt>
              </c:numCache>
            </c:numRef>
          </c:val>
        </c:ser>
        <c:marker val="1"/>
        <c:axId val="60536320"/>
        <c:axId val="60538880"/>
      </c:lineChart>
      <c:catAx>
        <c:axId val="60536320"/>
        <c:scaling>
          <c:orientation val="minMax"/>
        </c:scaling>
        <c:axPos val="b"/>
        <c:title>
          <c:tx>
            <c:rich>
              <a:bodyPr/>
              <a:lstStyle/>
              <a:p>
                <a:pPr>
                  <a:defRPr sz="1000" b="1" i="0" u="none" strike="noStrike" baseline="0">
                    <a:solidFill>
                      <a:srgbClr val="000000"/>
                    </a:solidFill>
                    <a:latin typeface="Times New Roman"/>
                    <a:ea typeface="Times New Roman"/>
                    <a:cs typeface="Times New Roman"/>
                  </a:defRPr>
                </a:pPr>
                <a:r>
                  <a:rPr lang="fr-FR"/>
                  <a:t>Temps (h)</a:t>
                </a:r>
              </a:p>
            </c:rich>
          </c:tx>
          <c:layout>
            <c:manualLayout>
              <c:xMode val="edge"/>
              <c:yMode val="edge"/>
              <c:x val="0.42626312335958183"/>
              <c:y val="0.91590049069953694"/>
            </c:manualLayout>
          </c:layout>
        </c:title>
        <c:numFmt formatCode="General" sourceLinked="1"/>
        <c:tickLblPos val="nextTo"/>
        <c:spPr>
          <a:ln w="9525">
            <a:solidFill>
              <a:sysClr val="windowText" lastClr="000000"/>
            </a:solidFill>
          </a:ln>
        </c:spPr>
        <c:txPr>
          <a:bodyPr rot="0" vert="horz"/>
          <a:lstStyle/>
          <a:p>
            <a:pPr>
              <a:defRPr sz="1000" b="1" i="0" u="none" strike="noStrike" baseline="0">
                <a:solidFill>
                  <a:srgbClr val="000000"/>
                </a:solidFill>
                <a:latin typeface="Calibri"/>
                <a:ea typeface="Calibri"/>
                <a:cs typeface="Calibri"/>
              </a:defRPr>
            </a:pPr>
            <a:endParaRPr lang="fr-FR"/>
          </a:p>
        </c:txPr>
        <c:crossAx val="60538880"/>
        <c:crosses val="autoZero"/>
        <c:auto val="1"/>
        <c:lblAlgn val="ctr"/>
        <c:lblOffset val="100"/>
      </c:catAx>
      <c:valAx>
        <c:axId val="60538880"/>
        <c:scaling>
          <c:orientation val="minMax"/>
          <c:max val="7"/>
          <c:min val="4.5"/>
        </c:scaling>
        <c:axPos val="l"/>
        <c:title>
          <c:tx>
            <c:rich>
              <a:bodyPr/>
              <a:lstStyle/>
              <a:p>
                <a:pPr>
                  <a:defRPr sz="1000" b="1" i="0" u="none" strike="noStrike" baseline="0">
                    <a:solidFill>
                      <a:srgbClr val="000000"/>
                    </a:solidFill>
                    <a:latin typeface="Times New Roman"/>
                    <a:ea typeface="Times New Roman"/>
                    <a:cs typeface="Times New Roman"/>
                  </a:defRPr>
                </a:pPr>
                <a:r>
                  <a:rPr lang="fr-FR"/>
                  <a:t>pH</a:t>
                </a:r>
              </a:p>
            </c:rich>
          </c:tx>
          <c:layout/>
        </c:title>
        <c:numFmt formatCode="General" sourceLinked="1"/>
        <c:tickLblPos val="nextTo"/>
        <c:spPr>
          <a:ln w="9525">
            <a:solidFill>
              <a:schemeClr val="tx1"/>
            </a:solidFill>
          </a:ln>
        </c:spPr>
        <c:txPr>
          <a:bodyPr rot="0" vert="horz"/>
          <a:lstStyle/>
          <a:p>
            <a:pPr>
              <a:defRPr sz="1000" b="1" i="0" u="none" strike="noStrike" baseline="0">
                <a:solidFill>
                  <a:srgbClr val="000000"/>
                </a:solidFill>
                <a:latin typeface="Calibri"/>
                <a:ea typeface="Calibri"/>
                <a:cs typeface="Calibri"/>
              </a:defRPr>
            </a:pPr>
            <a:endParaRPr lang="fr-FR"/>
          </a:p>
        </c:txPr>
        <c:crossAx val="60536320"/>
        <c:crosses val="autoZero"/>
        <c:crossBetween val="midCat"/>
        <c:majorUnit val="0.5"/>
      </c:valAx>
    </c:plotArea>
    <c:plotVisOnly val="1"/>
    <c:dispBlanksAs val="gap"/>
  </c:chart>
  <c:spPr>
    <a:ln>
      <a:solidFill>
        <a:schemeClr val="bg1"/>
      </a:solidFill>
    </a:ln>
  </c:spPr>
  <c:txPr>
    <a:bodyPr/>
    <a:lstStyle/>
    <a:p>
      <a:pPr>
        <a:defRPr sz="1000" b="0" i="0" u="none" strike="noStrike" baseline="0">
          <a:solidFill>
            <a:srgbClr val="000000"/>
          </a:solidFill>
          <a:latin typeface="Calibri"/>
          <a:ea typeface="Calibri"/>
          <a:cs typeface="Calibri"/>
        </a:defRPr>
      </a:pPr>
      <a:endParaRPr lang="fr-FR"/>
    </a:p>
  </c:txPr>
  <c:externalData r:id="rId1"/>
  <c:userShapes r:id="rId2"/>
</c:chartSpace>
</file>

<file path=word/charts/chart35.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a:pPr>
            <a:r>
              <a:rPr lang="fr-FR" b="0">
                <a:latin typeface="Times New Roman" pitchFamily="18" charset="0"/>
                <a:cs typeface="Times New Roman" pitchFamily="18" charset="0"/>
              </a:rPr>
              <a:t>B</a:t>
            </a:r>
          </a:p>
        </c:rich>
      </c:tx>
      <c:layout>
        <c:manualLayout>
          <c:xMode val="edge"/>
          <c:yMode val="edge"/>
          <c:x val="5.4646864000106746E-3"/>
          <c:y val="0"/>
        </c:manualLayout>
      </c:layout>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20890102280345049"/>
          <c:y val="3.4921428812814709E-2"/>
          <c:w val="0.72287756668797964"/>
          <c:h val="0.70622156101455069"/>
        </c:manualLayout>
      </c:layout>
      <c:lineChart>
        <c:grouping val="standard"/>
        <c:ser>
          <c:idx val="0"/>
          <c:order val="0"/>
          <c:tx>
            <c:strRef>
              <c:f>Sheet1!$B$4</c:f>
              <c:strCache>
                <c:ptCount val="1"/>
                <c:pt idx="0">
                  <c:v>1 (Temoin)</c:v>
                </c:pt>
              </c:strCache>
            </c:strRef>
          </c:tx>
          <c:spPr>
            <a:ln w="12700"/>
          </c:spPr>
          <c:errBars>
            <c:errDir val="y"/>
            <c:errBarType val="both"/>
            <c:errValType val="cust"/>
            <c:plus>
              <c:numRef>
                <c:f>Sheet1!$I$5:$M$5</c:f>
                <c:numCache>
                  <c:formatCode>General</c:formatCode>
                  <c:ptCount val="5"/>
                  <c:pt idx="0">
                    <c:v>3.0000000000000002E-2</c:v>
                  </c:pt>
                  <c:pt idx="1">
                    <c:v>2.4E-2</c:v>
                  </c:pt>
                  <c:pt idx="2">
                    <c:v>2.7000000000000159E-2</c:v>
                  </c:pt>
                  <c:pt idx="3">
                    <c:v>2.5000000000000001E-2</c:v>
                  </c:pt>
                  <c:pt idx="4">
                    <c:v>2.3E-2</c:v>
                  </c:pt>
                </c:numCache>
              </c:numRef>
            </c:plus>
            <c:minus>
              <c:numRef>
                <c:f>Sheet1!$I$5:$M$5</c:f>
                <c:numCache>
                  <c:formatCode>General</c:formatCode>
                  <c:ptCount val="5"/>
                  <c:pt idx="0">
                    <c:v>3.0000000000000002E-2</c:v>
                  </c:pt>
                  <c:pt idx="1">
                    <c:v>2.4E-2</c:v>
                  </c:pt>
                  <c:pt idx="2">
                    <c:v>2.7000000000000159E-2</c:v>
                  </c:pt>
                  <c:pt idx="3">
                    <c:v>2.5000000000000001E-2</c:v>
                  </c:pt>
                  <c:pt idx="4">
                    <c:v>2.3E-2</c:v>
                  </c:pt>
                </c:numCache>
              </c:numRef>
            </c:minus>
          </c:errBars>
          <c:cat>
            <c:strRef>
              <c:f>Sheet1!$A$5:$A$8</c:f>
              <c:strCache>
                <c:ptCount val="4"/>
                <c:pt idx="0">
                  <c:v>T0</c:v>
                </c:pt>
                <c:pt idx="1">
                  <c:v>T1</c:v>
                </c:pt>
                <c:pt idx="2">
                  <c:v>T2</c:v>
                </c:pt>
                <c:pt idx="3">
                  <c:v> T3</c:v>
                </c:pt>
              </c:strCache>
            </c:strRef>
          </c:cat>
          <c:val>
            <c:numRef>
              <c:f>Sheet1!$B$5:$B$8</c:f>
              <c:numCache>
                <c:formatCode>General</c:formatCode>
                <c:ptCount val="4"/>
                <c:pt idx="0">
                  <c:v>6.6</c:v>
                </c:pt>
                <c:pt idx="1">
                  <c:v>6.08</c:v>
                </c:pt>
                <c:pt idx="2">
                  <c:v>5.3599999999999985</c:v>
                </c:pt>
                <c:pt idx="3">
                  <c:v>4.99</c:v>
                </c:pt>
              </c:numCache>
            </c:numRef>
          </c:val>
        </c:ser>
        <c:ser>
          <c:idx val="1"/>
          <c:order val="1"/>
          <c:tx>
            <c:strRef>
              <c:f>Sheet1!$C$4</c:f>
              <c:strCache>
                <c:ptCount val="1"/>
                <c:pt idx="0">
                  <c:v>2 (Lactoserum)</c:v>
                </c:pt>
              </c:strCache>
            </c:strRef>
          </c:tx>
          <c:spPr>
            <a:ln w="12700">
              <a:solidFill>
                <a:srgbClr val="FF9900"/>
              </a:solidFill>
            </a:ln>
          </c:spPr>
          <c:marker>
            <c:spPr>
              <a:solidFill>
                <a:srgbClr val="FF9900"/>
              </a:solidFill>
              <a:ln>
                <a:solidFill>
                  <a:srgbClr val="FF9900"/>
                </a:solidFill>
              </a:ln>
            </c:spPr>
          </c:marker>
          <c:errBars>
            <c:errDir val="y"/>
            <c:errBarType val="both"/>
            <c:errValType val="cust"/>
            <c:plus>
              <c:numRef>
                <c:f>Sheet1!$I$6:$M$6</c:f>
                <c:numCache>
                  <c:formatCode>General</c:formatCode>
                  <c:ptCount val="5"/>
                  <c:pt idx="0">
                    <c:v>2.5999999999999999E-2</c:v>
                  </c:pt>
                  <c:pt idx="1">
                    <c:v>1.2E-2</c:v>
                  </c:pt>
                  <c:pt idx="2">
                    <c:v>2.0000000000000011E-2</c:v>
                  </c:pt>
                  <c:pt idx="3">
                    <c:v>2.5000000000000001E-2</c:v>
                  </c:pt>
                  <c:pt idx="4">
                    <c:v>2.1000000000000012E-2</c:v>
                  </c:pt>
                </c:numCache>
              </c:numRef>
            </c:plus>
            <c:minus>
              <c:numRef>
                <c:f>Sheet1!$I$6:$M$6</c:f>
                <c:numCache>
                  <c:formatCode>General</c:formatCode>
                  <c:ptCount val="5"/>
                  <c:pt idx="0">
                    <c:v>2.5999999999999999E-2</c:v>
                  </c:pt>
                  <c:pt idx="1">
                    <c:v>1.2E-2</c:v>
                  </c:pt>
                  <c:pt idx="2">
                    <c:v>2.0000000000000011E-2</c:v>
                  </c:pt>
                  <c:pt idx="3">
                    <c:v>2.5000000000000001E-2</c:v>
                  </c:pt>
                  <c:pt idx="4">
                    <c:v>2.1000000000000012E-2</c:v>
                  </c:pt>
                </c:numCache>
              </c:numRef>
            </c:minus>
          </c:errBars>
          <c:cat>
            <c:strRef>
              <c:f>Sheet1!$A$5:$A$8</c:f>
              <c:strCache>
                <c:ptCount val="4"/>
                <c:pt idx="0">
                  <c:v>T0</c:v>
                </c:pt>
                <c:pt idx="1">
                  <c:v>T1</c:v>
                </c:pt>
                <c:pt idx="2">
                  <c:v>T2</c:v>
                </c:pt>
                <c:pt idx="3">
                  <c:v> T3</c:v>
                </c:pt>
              </c:strCache>
            </c:strRef>
          </c:cat>
          <c:val>
            <c:numRef>
              <c:f>Sheet1!$C$5:$C$8</c:f>
              <c:numCache>
                <c:formatCode>General</c:formatCode>
                <c:ptCount val="4"/>
                <c:pt idx="0">
                  <c:v>6.1899999999999995</c:v>
                </c:pt>
                <c:pt idx="1">
                  <c:v>5.6</c:v>
                </c:pt>
                <c:pt idx="2">
                  <c:v>5.1099999999999985</c:v>
                </c:pt>
                <c:pt idx="3">
                  <c:v>4.87</c:v>
                </c:pt>
              </c:numCache>
            </c:numRef>
          </c:val>
        </c:ser>
        <c:ser>
          <c:idx val="2"/>
          <c:order val="2"/>
          <c:tx>
            <c:strRef>
              <c:f>Sheet1!$D$4</c:f>
              <c:strCache>
                <c:ptCount val="1"/>
                <c:pt idx="0">
                  <c:v>3 (Promilk)</c:v>
                </c:pt>
              </c:strCache>
            </c:strRef>
          </c:tx>
          <c:spPr>
            <a:ln w="12700">
              <a:solidFill>
                <a:srgbClr val="92D050"/>
              </a:solidFill>
            </a:ln>
          </c:spPr>
          <c:marker>
            <c:spPr>
              <a:solidFill>
                <a:srgbClr val="92D050"/>
              </a:solidFill>
              <a:ln>
                <a:solidFill>
                  <a:srgbClr val="92D050"/>
                </a:solidFill>
              </a:ln>
            </c:spPr>
          </c:marker>
          <c:errBars>
            <c:errDir val="y"/>
            <c:errBarType val="both"/>
            <c:errValType val="cust"/>
            <c:plus>
              <c:numRef>
                <c:f>Sheet1!$I$7:$M$7</c:f>
                <c:numCache>
                  <c:formatCode>General</c:formatCode>
                  <c:ptCount val="5"/>
                  <c:pt idx="0">
                    <c:v>2.5999999999999999E-2</c:v>
                  </c:pt>
                  <c:pt idx="1">
                    <c:v>2.1000000000000012E-2</c:v>
                  </c:pt>
                  <c:pt idx="2">
                    <c:v>2.9000000000000001E-2</c:v>
                  </c:pt>
                  <c:pt idx="3">
                    <c:v>2.5999999999999999E-2</c:v>
                  </c:pt>
                  <c:pt idx="4">
                    <c:v>1.9000000000000111E-2</c:v>
                  </c:pt>
                </c:numCache>
              </c:numRef>
            </c:plus>
            <c:minus>
              <c:numRef>
                <c:f>Sheet1!$I$7:$M$7</c:f>
                <c:numCache>
                  <c:formatCode>General</c:formatCode>
                  <c:ptCount val="5"/>
                  <c:pt idx="0">
                    <c:v>2.5999999999999999E-2</c:v>
                  </c:pt>
                  <c:pt idx="1">
                    <c:v>2.1000000000000012E-2</c:v>
                  </c:pt>
                  <c:pt idx="2">
                    <c:v>2.9000000000000001E-2</c:v>
                  </c:pt>
                  <c:pt idx="3">
                    <c:v>2.5999999999999999E-2</c:v>
                  </c:pt>
                  <c:pt idx="4">
                    <c:v>1.9000000000000111E-2</c:v>
                  </c:pt>
                </c:numCache>
              </c:numRef>
            </c:minus>
          </c:errBars>
          <c:cat>
            <c:strRef>
              <c:f>Sheet1!$A$5:$A$8</c:f>
              <c:strCache>
                <c:ptCount val="4"/>
                <c:pt idx="0">
                  <c:v>T0</c:v>
                </c:pt>
                <c:pt idx="1">
                  <c:v>T1</c:v>
                </c:pt>
                <c:pt idx="2">
                  <c:v>T2</c:v>
                </c:pt>
                <c:pt idx="3">
                  <c:v> T3</c:v>
                </c:pt>
              </c:strCache>
            </c:strRef>
          </c:cat>
          <c:val>
            <c:numRef>
              <c:f>Sheet1!$D$5:$D$8</c:f>
              <c:numCache>
                <c:formatCode>General</c:formatCode>
                <c:ptCount val="4"/>
                <c:pt idx="0">
                  <c:v>6.59</c:v>
                </c:pt>
                <c:pt idx="1">
                  <c:v>5.89</c:v>
                </c:pt>
                <c:pt idx="2">
                  <c:v>5.31</c:v>
                </c:pt>
                <c:pt idx="3">
                  <c:v>4.9700000000000024</c:v>
                </c:pt>
              </c:numCache>
            </c:numRef>
          </c:val>
        </c:ser>
        <c:ser>
          <c:idx val="3"/>
          <c:order val="3"/>
          <c:tx>
            <c:strRef>
              <c:f>Sheet1!$E$4</c:f>
              <c:strCache>
                <c:ptCount val="1"/>
                <c:pt idx="0">
                  <c:v>4 (H. Caseine)</c:v>
                </c:pt>
              </c:strCache>
            </c:strRef>
          </c:tx>
          <c:spPr>
            <a:ln w="12700">
              <a:solidFill>
                <a:srgbClr val="990099"/>
              </a:solidFill>
            </a:ln>
          </c:spPr>
          <c:marker>
            <c:spPr>
              <a:solidFill>
                <a:srgbClr val="990099"/>
              </a:solidFill>
              <a:ln>
                <a:solidFill>
                  <a:srgbClr val="990099"/>
                </a:solidFill>
              </a:ln>
            </c:spPr>
          </c:marker>
          <c:errBars>
            <c:errDir val="y"/>
            <c:errBarType val="both"/>
            <c:errValType val="cust"/>
            <c:plus>
              <c:numRef>
                <c:f>Sheet1!$I$8:$M$8</c:f>
                <c:numCache>
                  <c:formatCode>General</c:formatCode>
                  <c:ptCount val="5"/>
                  <c:pt idx="0">
                    <c:v>1.9000000000000111E-2</c:v>
                  </c:pt>
                  <c:pt idx="1">
                    <c:v>1.2E-2</c:v>
                  </c:pt>
                  <c:pt idx="2">
                    <c:v>2.1999999999999999E-2</c:v>
                  </c:pt>
                  <c:pt idx="3">
                    <c:v>2.0000000000000011E-2</c:v>
                  </c:pt>
                  <c:pt idx="4">
                    <c:v>2.9000000000000001E-2</c:v>
                  </c:pt>
                </c:numCache>
              </c:numRef>
            </c:plus>
            <c:minus>
              <c:numRef>
                <c:f>Sheet1!$I$8:$M$8</c:f>
                <c:numCache>
                  <c:formatCode>General</c:formatCode>
                  <c:ptCount val="5"/>
                  <c:pt idx="0">
                    <c:v>1.9000000000000111E-2</c:v>
                  </c:pt>
                  <c:pt idx="1">
                    <c:v>1.2E-2</c:v>
                  </c:pt>
                  <c:pt idx="2">
                    <c:v>2.1999999999999999E-2</c:v>
                  </c:pt>
                  <c:pt idx="3">
                    <c:v>2.0000000000000011E-2</c:v>
                  </c:pt>
                  <c:pt idx="4">
                    <c:v>2.9000000000000001E-2</c:v>
                  </c:pt>
                </c:numCache>
              </c:numRef>
            </c:minus>
          </c:errBars>
          <c:cat>
            <c:strRef>
              <c:f>Sheet1!$A$5:$A$8</c:f>
              <c:strCache>
                <c:ptCount val="4"/>
                <c:pt idx="0">
                  <c:v>T0</c:v>
                </c:pt>
                <c:pt idx="1">
                  <c:v>T1</c:v>
                </c:pt>
                <c:pt idx="2">
                  <c:v>T2</c:v>
                </c:pt>
                <c:pt idx="3">
                  <c:v> T3</c:v>
                </c:pt>
              </c:strCache>
            </c:strRef>
          </c:cat>
          <c:val>
            <c:numRef>
              <c:f>Sheet1!$E$5:$E$8</c:f>
              <c:numCache>
                <c:formatCode>General</c:formatCode>
                <c:ptCount val="4"/>
                <c:pt idx="0">
                  <c:v>6.48</c:v>
                </c:pt>
                <c:pt idx="1">
                  <c:v>5.8199999999999985</c:v>
                </c:pt>
                <c:pt idx="2">
                  <c:v>5.22</c:v>
                </c:pt>
                <c:pt idx="3">
                  <c:v>4.91</c:v>
                </c:pt>
              </c:numCache>
            </c:numRef>
          </c:val>
        </c:ser>
        <c:ser>
          <c:idx val="4"/>
          <c:order val="4"/>
          <c:tx>
            <c:strRef>
              <c:f>Sheet1!$F$4</c:f>
              <c:strCache>
                <c:ptCount val="1"/>
                <c:pt idx="0">
                  <c:v>5 (H. Proteine)</c:v>
                </c:pt>
              </c:strCache>
            </c:strRef>
          </c:tx>
          <c:spPr>
            <a:ln w="12700">
              <a:solidFill>
                <a:srgbClr val="FF33CC"/>
              </a:solidFill>
            </a:ln>
          </c:spPr>
          <c:marker>
            <c:symbol val="circle"/>
            <c:size val="4"/>
            <c:spPr>
              <a:solidFill>
                <a:srgbClr val="FF33CC"/>
              </a:solidFill>
              <a:ln>
                <a:solidFill>
                  <a:srgbClr val="FF33CC"/>
                </a:solidFill>
              </a:ln>
            </c:spPr>
          </c:marker>
          <c:cat>
            <c:strRef>
              <c:f>Sheet1!$A$5:$A$8</c:f>
              <c:strCache>
                <c:ptCount val="4"/>
                <c:pt idx="0">
                  <c:v>T0</c:v>
                </c:pt>
                <c:pt idx="1">
                  <c:v>T1</c:v>
                </c:pt>
                <c:pt idx="2">
                  <c:v>T2</c:v>
                </c:pt>
                <c:pt idx="3">
                  <c:v> T3</c:v>
                </c:pt>
              </c:strCache>
            </c:strRef>
          </c:cat>
          <c:val>
            <c:numRef>
              <c:f>Sheet1!$F$5:$F$8</c:f>
              <c:numCache>
                <c:formatCode>General</c:formatCode>
                <c:ptCount val="4"/>
                <c:pt idx="0">
                  <c:v>6.6</c:v>
                </c:pt>
                <c:pt idx="1">
                  <c:v>5.79</c:v>
                </c:pt>
                <c:pt idx="2">
                  <c:v>5.1899999999999995</c:v>
                </c:pt>
                <c:pt idx="3">
                  <c:v>4.96</c:v>
                </c:pt>
              </c:numCache>
            </c:numRef>
          </c:val>
        </c:ser>
        <c:marker val="1"/>
        <c:axId val="61121280"/>
        <c:axId val="61123584"/>
      </c:lineChart>
      <c:catAx>
        <c:axId val="61121280"/>
        <c:scaling>
          <c:orientation val="minMax"/>
        </c:scaling>
        <c:axPos val="b"/>
        <c:title>
          <c:tx>
            <c:rich>
              <a:bodyPr/>
              <a:lstStyle/>
              <a:p>
                <a:pPr>
                  <a:defRPr>
                    <a:latin typeface="Times New Roman" pitchFamily="18" charset="0"/>
                    <a:cs typeface="Times New Roman" pitchFamily="18" charset="0"/>
                  </a:defRPr>
                </a:pPr>
                <a:r>
                  <a:rPr lang="en-US">
                    <a:latin typeface="Times New Roman" pitchFamily="18" charset="0"/>
                    <a:cs typeface="Times New Roman" pitchFamily="18" charset="0"/>
                  </a:rPr>
                  <a:t>Temps (h)</a:t>
                </a:r>
              </a:p>
            </c:rich>
          </c:tx>
          <c:layout>
            <c:manualLayout>
              <c:xMode val="edge"/>
              <c:yMode val="edge"/>
              <c:x val="0.41360729037839083"/>
              <c:y val="0.87124463519313589"/>
            </c:manualLayout>
          </c:layout>
        </c:title>
        <c:numFmt formatCode="General" sourceLinked="1"/>
        <c:tickLblPos val="nextTo"/>
        <c:spPr>
          <a:ln w="9525">
            <a:solidFill>
              <a:sysClr val="windowText" lastClr="000000"/>
            </a:solidFill>
          </a:ln>
        </c:spPr>
        <c:txPr>
          <a:bodyPr/>
          <a:lstStyle/>
          <a:p>
            <a:pPr>
              <a:defRPr b="1" i="0" baseline="0"/>
            </a:pPr>
            <a:endParaRPr lang="fr-FR"/>
          </a:p>
        </c:txPr>
        <c:crossAx val="61123584"/>
        <c:crosses val="autoZero"/>
        <c:auto val="1"/>
        <c:lblAlgn val="ctr"/>
        <c:lblOffset val="100"/>
      </c:catAx>
      <c:valAx>
        <c:axId val="61123584"/>
        <c:scaling>
          <c:orientation val="minMax"/>
          <c:max val="7"/>
          <c:min val="4.5"/>
        </c:scaling>
        <c:axPos val="l"/>
        <c:title>
          <c:tx>
            <c:rich>
              <a:bodyPr rot="-5400000" vert="horz"/>
              <a:lstStyle/>
              <a:p>
                <a:pPr>
                  <a:defRPr>
                    <a:latin typeface="Times New Roman" pitchFamily="18" charset="0"/>
                    <a:cs typeface="Times New Roman" pitchFamily="18" charset="0"/>
                  </a:defRPr>
                </a:pPr>
                <a:r>
                  <a:rPr lang="en-US">
                    <a:latin typeface="Times New Roman" pitchFamily="18" charset="0"/>
                    <a:cs typeface="Times New Roman" pitchFamily="18" charset="0"/>
                  </a:rPr>
                  <a:t>pH</a:t>
                </a:r>
              </a:p>
            </c:rich>
          </c:tx>
          <c:layout/>
        </c:title>
        <c:numFmt formatCode="General" sourceLinked="1"/>
        <c:tickLblPos val="nextTo"/>
        <c:spPr>
          <a:ln w="9525">
            <a:solidFill>
              <a:sysClr val="windowText" lastClr="000000"/>
            </a:solidFill>
          </a:ln>
        </c:spPr>
        <c:txPr>
          <a:bodyPr/>
          <a:lstStyle/>
          <a:p>
            <a:pPr>
              <a:defRPr b="1" i="0" baseline="0"/>
            </a:pPr>
            <a:endParaRPr lang="fr-FR"/>
          </a:p>
        </c:txPr>
        <c:crossAx val="61121280"/>
        <c:crosses val="autoZero"/>
        <c:crossBetween val="midCat"/>
        <c:majorUnit val="0.5"/>
      </c:valAx>
    </c:plotArea>
    <c:plotVisOnly val="1"/>
    <c:dispBlanksAs val="gap"/>
  </c:chart>
  <c:spPr>
    <a:ln>
      <a:solidFill>
        <a:schemeClr val="bg1"/>
      </a:solidFill>
    </a:ln>
  </c:spPr>
  <c:externalData r:id="rId1"/>
  <c:userShapes r:id="rId2"/>
</c:chartSpace>
</file>

<file path=word/charts/chart36.xml><?xml version="1.0" encoding="utf-8"?>
<c:chartSpace xmlns:c="http://schemas.openxmlformats.org/drawingml/2006/chart" xmlns:a="http://schemas.openxmlformats.org/drawingml/2006/main" xmlns:r="http://schemas.openxmlformats.org/officeDocument/2006/relationships">
  <c:date1904 val="1"/>
  <c:lang val="fr-FR"/>
  <c:style val="26"/>
  <c:chart>
    <c:title>
      <c:tx>
        <c:rich>
          <a:bodyPr/>
          <a:lstStyle/>
          <a:p>
            <a:pPr>
              <a:defRPr/>
            </a:pPr>
            <a:r>
              <a:rPr lang="fr-FR" b="0">
                <a:latin typeface="Times New Roman" pitchFamily="18" charset="0"/>
                <a:cs typeface="Times New Roman" pitchFamily="18" charset="0"/>
              </a:rPr>
              <a:t>B</a:t>
            </a:r>
          </a:p>
        </c:rich>
      </c:tx>
      <c:layout>
        <c:manualLayout>
          <c:xMode val="edge"/>
          <c:yMode val="edge"/>
          <c:x val="4.2016872333199527E-3"/>
          <c:y val="1.1747430249632998E-2"/>
        </c:manualLayout>
      </c:layout>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23861351738568617"/>
          <c:y val="0.10528153116662911"/>
          <c:w val="0.72870482786082258"/>
          <c:h val="0.68629458762588669"/>
        </c:manualLayout>
      </c:layout>
      <c:barChart>
        <c:barDir val="col"/>
        <c:grouping val="clustered"/>
        <c:ser>
          <c:idx val="0"/>
          <c:order val="0"/>
          <c:tx>
            <c:strRef>
              <c:f>Sheet2!$B$104</c:f>
              <c:strCache>
                <c:ptCount val="1"/>
                <c:pt idx="0">
                  <c:v>1 (Temoin)</c:v>
                </c:pt>
              </c:strCache>
            </c:strRef>
          </c:tx>
          <c:spPr>
            <a:solidFill>
              <a:srgbClr val="0070C0"/>
            </a:solidFill>
            <a:ln>
              <a:solidFill>
                <a:srgbClr val="0070C0"/>
              </a:solidFill>
            </a:ln>
          </c:spPr>
          <c:errBars>
            <c:errBarType val="both"/>
            <c:errValType val="cust"/>
            <c:plus>
              <c:numRef>
                <c:f>Sheet1!$I$45:$I$48</c:f>
                <c:numCache>
                  <c:formatCode>General</c:formatCode>
                  <c:ptCount val="4"/>
                  <c:pt idx="0">
                    <c:v>3.5999999999999997E-2</c:v>
                  </c:pt>
                  <c:pt idx="1">
                    <c:v>7.5000000000000011E-2</c:v>
                  </c:pt>
                  <c:pt idx="2">
                    <c:v>7.0999999999999994E-2</c:v>
                  </c:pt>
                  <c:pt idx="3">
                    <c:v>5.3999999999999999E-2</c:v>
                  </c:pt>
                </c:numCache>
              </c:numRef>
            </c:plus>
            <c:minus>
              <c:numRef>
                <c:f>Sheet1!$I$45:$I$48</c:f>
                <c:numCache>
                  <c:formatCode>General</c:formatCode>
                  <c:ptCount val="4"/>
                  <c:pt idx="0">
                    <c:v>3.5999999999999997E-2</c:v>
                  </c:pt>
                  <c:pt idx="1">
                    <c:v>7.5000000000000011E-2</c:v>
                  </c:pt>
                  <c:pt idx="2">
                    <c:v>7.0999999999999994E-2</c:v>
                  </c:pt>
                  <c:pt idx="3">
                    <c:v>5.3999999999999999E-2</c:v>
                  </c:pt>
                </c:numCache>
              </c:numRef>
            </c:minus>
          </c:errBars>
          <c:cat>
            <c:strRef>
              <c:f>Sheet2!$A$105:$A$108</c:f>
              <c:strCache>
                <c:ptCount val="4"/>
                <c:pt idx="0">
                  <c:v>7 j</c:v>
                </c:pt>
                <c:pt idx="1">
                  <c:v>14 j</c:v>
                </c:pt>
                <c:pt idx="2">
                  <c:v>21 j</c:v>
                </c:pt>
                <c:pt idx="3">
                  <c:v>28 j</c:v>
                </c:pt>
              </c:strCache>
            </c:strRef>
          </c:cat>
          <c:val>
            <c:numRef>
              <c:f>Sheet2!$B$105:$B$108</c:f>
              <c:numCache>
                <c:formatCode>General</c:formatCode>
                <c:ptCount val="4"/>
                <c:pt idx="0">
                  <c:v>9.1300000000000008</c:v>
                </c:pt>
                <c:pt idx="1">
                  <c:v>8.7200000000000006</c:v>
                </c:pt>
                <c:pt idx="2">
                  <c:v>8.17</c:v>
                </c:pt>
                <c:pt idx="3">
                  <c:v>7.54</c:v>
                </c:pt>
              </c:numCache>
            </c:numRef>
          </c:val>
        </c:ser>
        <c:ser>
          <c:idx val="1"/>
          <c:order val="1"/>
          <c:tx>
            <c:strRef>
              <c:f>Sheet2!$C$104</c:f>
              <c:strCache>
                <c:ptCount val="1"/>
                <c:pt idx="0">
                  <c:v>2 (Lactoserum)</c:v>
                </c:pt>
              </c:strCache>
            </c:strRef>
          </c:tx>
          <c:spPr>
            <a:solidFill>
              <a:srgbClr val="FF9900"/>
            </a:solidFill>
            <a:ln>
              <a:solidFill>
                <a:srgbClr val="FF9900"/>
              </a:solidFill>
            </a:ln>
          </c:spPr>
          <c:errBars>
            <c:errBarType val="both"/>
            <c:errValType val="cust"/>
            <c:plus>
              <c:numRef>
                <c:f>Sheet1!$J$45:$J$48</c:f>
                <c:numCache>
                  <c:formatCode>General</c:formatCode>
                  <c:ptCount val="4"/>
                  <c:pt idx="0">
                    <c:v>2.8000000000000001E-2</c:v>
                  </c:pt>
                  <c:pt idx="1">
                    <c:v>6.1000000000000013E-2</c:v>
                  </c:pt>
                  <c:pt idx="2">
                    <c:v>4.5000000000000012E-2</c:v>
                  </c:pt>
                  <c:pt idx="3">
                    <c:v>4.5000000000000012E-2</c:v>
                  </c:pt>
                </c:numCache>
              </c:numRef>
            </c:plus>
            <c:minus>
              <c:numRef>
                <c:f>Sheet1!$J$45:$J$48</c:f>
                <c:numCache>
                  <c:formatCode>General</c:formatCode>
                  <c:ptCount val="4"/>
                  <c:pt idx="0">
                    <c:v>2.8000000000000001E-2</c:v>
                  </c:pt>
                  <c:pt idx="1">
                    <c:v>6.1000000000000013E-2</c:v>
                  </c:pt>
                  <c:pt idx="2">
                    <c:v>4.5000000000000012E-2</c:v>
                  </c:pt>
                  <c:pt idx="3">
                    <c:v>4.5000000000000012E-2</c:v>
                  </c:pt>
                </c:numCache>
              </c:numRef>
            </c:minus>
          </c:errBars>
          <c:cat>
            <c:strRef>
              <c:f>Sheet2!$A$105:$A$108</c:f>
              <c:strCache>
                <c:ptCount val="4"/>
                <c:pt idx="0">
                  <c:v>7 j</c:v>
                </c:pt>
                <c:pt idx="1">
                  <c:v>14 j</c:v>
                </c:pt>
                <c:pt idx="2">
                  <c:v>21 j</c:v>
                </c:pt>
                <c:pt idx="3">
                  <c:v>28 j</c:v>
                </c:pt>
              </c:strCache>
            </c:strRef>
          </c:cat>
          <c:val>
            <c:numRef>
              <c:f>Sheet2!$C$105:$C$108</c:f>
              <c:numCache>
                <c:formatCode>General</c:formatCode>
                <c:ptCount val="4"/>
                <c:pt idx="0">
                  <c:v>10.24</c:v>
                </c:pt>
                <c:pt idx="1">
                  <c:v>9.92</c:v>
                </c:pt>
                <c:pt idx="2">
                  <c:v>9.69</c:v>
                </c:pt>
                <c:pt idx="3">
                  <c:v>9.2000000000000011</c:v>
                </c:pt>
              </c:numCache>
            </c:numRef>
          </c:val>
        </c:ser>
        <c:ser>
          <c:idx val="2"/>
          <c:order val="2"/>
          <c:tx>
            <c:strRef>
              <c:f>Sheet2!$D$104</c:f>
              <c:strCache>
                <c:ptCount val="1"/>
                <c:pt idx="0">
                  <c:v>3 (Promilk)</c:v>
                </c:pt>
              </c:strCache>
            </c:strRef>
          </c:tx>
          <c:spPr>
            <a:solidFill>
              <a:srgbClr val="92D050"/>
            </a:solidFill>
            <a:ln>
              <a:solidFill>
                <a:srgbClr val="92D050"/>
              </a:solidFill>
            </a:ln>
          </c:spPr>
          <c:errBars>
            <c:errBarType val="both"/>
            <c:errValType val="cust"/>
            <c:plus>
              <c:numRef>
                <c:f>Sheet1!$K$45:$K$48</c:f>
                <c:numCache>
                  <c:formatCode>General</c:formatCode>
                  <c:ptCount val="4"/>
                  <c:pt idx="0">
                    <c:v>5.7000000000000023E-2</c:v>
                  </c:pt>
                  <c:pt idx="1">
                    <c:v>5.1999999999999998E-2</c:v>
                  </c:pt>
                  <c:pt idx="2">
                    <c:v>3.0000000000000002E-2</c:v>
                  </c:pt>
                  <c:pt idx="3">
                    <c:v>3.5999999999999997E-2</c:v>
                  </c:pt>
                </c:numCache>
              </c:numRef>
            </c:plus>
            <c:minus>
              <c:numRef>
                <c:f>Sheet1!$K$45:$K$48</c:f>
                <c:numCache>
                  <c:formatCode>General</c:formatCode>
                  <c:ptCount val="4"/>
                  <c:pt idx="0">
                    <c:v>5.7000000000000023E-2</c:v>
                  </c:pt>
                  <c:pt idx="1">
                    <c:v>5.1999999999999998E-2</c:v>
                  </c:pt>
                  <c:pt idx="2">
                    <c:v>3.0000000000000002E-2</c:v>
                  </c:pt>
                  <c:pt idx="3">
                    <c:v>3.5999999999999997E-2</c:v>
                  </c:pt>
                </c:numCache>
              </c:numRef>
            </c:minus>
          </c:errBars>
          <c:cat>
            <c:strRef>
              <c:f>Sheet2!$A$105:$A$108</c:f>
              <c:strCache>
                <c:ptCount val="4"/>
                <c:pt idx="0">
                  <c:v>7 j</c:v>
                </c:pt>
                <c:pt idx="1">
                  <c:v>14 j</c:v>
                </c:pt>
                <c:pt idx="2">
                  <c:v>21 j</c:v>
                </c:pt>
                <c:pt idx="3">
                  <c:v>28 j</c:v>
                </c:pt>
              </c:strCache>
            </c:strRef>
          </c:cat>
          <c:val>
            <c:numRef>
              <c:f>Sheet2!$D$105:$D$108</c:f>
              <c:numCache>
                <c:formatCode>General</c:formatCode>
                <c:ptCount val="4"/>
                <c:pt idx="0">
                  <c:v>8.98</c:v>
                </c:pt>
                <c:pt idx="1">
                  <c:v>8.4700000000000006</c:v>
                </c:pt>
                <c:pt idx="2">
                  <c:v>8.2100000000000009</c:v>
                </c:pt>
                <c:pt idx="3">
                  <c:v>7.67</c:v>
                </c:pt>
              </c:numCache>
            </c:numRef>
          </c:val>
        </c:ser>
        <c:ser>
          <c:idx val="3"/>
          <c:order val="3"/>
          <c:tx>
            <c:strRef>
              <c:f>Sheet2!$E$104</c:f>
              <c:strCache>
                <c:ptCount val="1"/>
                <c:pt idx="0">
                  <c:v>4 (H. Caseine)</c:v>
                </c:pt>
              </c:strCache>
            </c:strRef>
          </c:tx>
          <c:spPr>
            <a:solidFill>
              <a:srgbClr val="990099"/>
            </a:solidFill>
            <a:ln>
              <a:solidFill>
                <a:srgbClr val="990099"/>
              </a:solidFill>
            </a:ln>
          </c:spPr>
          <c:errBars>
            <c:errBarType val="both"/>
            <c:errValType val="cust"/>
            <c:plus>
              <c:numRef>
                <c:f>Sheet1!$L$45:$L$48</c:f>
                <c:numCache>
                  <c:formatCode>General</c:formatCode>
                  <c:ptCount val="4"/>
                  <c:pt idx="0">
                    <c:v>4.7000000000000014E-2</c:v>
                  </c:pt>
                  <c:pt idx="1">
                    <c:v>4.1000000000000002E-2</c:v>
                  </c:pt>
                  <c:pt idx="2">
                    <c:v>4.2000000000000023E-2</c:v>
                  </c:pt>
                  <c:pt idx="3">
                    <c:v>3.4000000000000002E-2</c:v>
                  </c:pt>
                </c:numCache>
              </c:numRef>
            </c:plus>
            <c:minus>
              <c:numRef>
                <c:f>Sheet1!$L$45:$L$48</c:f>
                <c:numCache>
                  <c:formatCode>General</c:formatCode>
                  <c:ptCount val="4"/>
                  <c:pt idx="0">
                    <c:v>4.7000000000000014E-2</c:v>
                  </c:pt>
                  <c:pt idx="1">
                    <c:v>4.1000000000000002E-2</c:v>
                  </c:pt>
                  <c:pt idx="2">
                    <c:v>4.2000000000000023E-2</c:v>
                  </c:pt>
                  <c:pt idx="3">
                    <c:v>3.4000000000000002E-2</c:v>
                  </c:pt>
                </c:numCache>
              </c:numRef>
            </c:minus>
          </c:errBars>
          <c:cat>
            <c:strRef>
              <c:f>Sheet2!$A$105:$A$108</c:f>
              <c:strCache>
                <c:ptCount val="4"/>
                <c:pt idx="0">
                  <c:v>7 j</c:v>
                </c:pt>
                <c:pt idx="1">
                  <c:v>14 j</c:v>
                </c:pt>
                <c:pt idx="2">
                  <c:v>21 j</c:v>
                </c:pt>
                <c:pt idx="3">
                  <c:v>28 j</c:v>
                </c:pt>
              </c:strCache>
            </c:strRef>
          </c:cat>
          <c:val>
            <c:numRef>
              <c:f>Sheet2!$E$105:$E$108</c:f>
              <c:numCache>
                <c:formatCode>General</c:formatCode>
                <c:ptCount val="4"/>
                <c:pt idx="0">
                  <c:v>9.66</c:v>
                </c:pt>
                <c:pt idx="1">
                  <c:v>9.48</c:v>
                </c:pt>
                <c:pt idx="2">
                  <c:v>9.120000000000001</c:v>
                </c:pt>
                <c:pt idx="3">
                  <c:v>8.94</c:v>
                </c:pt>
              </c:numCache>
            </c:numRef>
          </c:val>
        </c:ser>
        <c:ser>
          <c:idx val="4"/>
          <c:order val="4"/>
          <c:tx>
            <c:strRef>
              <c:f>Sheet2!$F$104</c:f>
              <c:strCache>
                <c:ptCount val="1"/>
                <c:pt idx="0">
                  <c:v>5 (H. Proteine)</c:v>
                </c:pt>
              </c:strCache>
            </c:strRef>
          </c:tx>
          <c:spPr>
            <a:solidFill>
              <a:srgbClr val="FF33CC"/>
            </a:solidFill>
            <a:ln>
              <a:solidFill>
                <a:srgbClr val="FF33CC"/>
              </a:solidFill>
            </a:ln>
          </c:spPr>
          <c:errBars>
            <c:errBarType val="both"/>
            <c:errValType val="cust"/>
            <c:plus>
              <c:numRef>
                <c:f>Sheet1!$M$45:$M$48</c:f>
                <c:numCache>
                  <c:formatCode>General</c:formatCode>
                  <c:ptCount val="4"/>
                  <c:pt idx="0">
                    <c:v>3.0000000000000002E-2</c:v>
                  </c:pt>
                  <c:pt idx="1">
                    <c:v>4.1000000000000002E-2</c:v>
                  </c:pt>
                  <c:pt idx="2">
                    <c:v>1.9000000000000111E-2</c:v>
                  </c:pt>
                  <c:pt idx="3">
                    <c:v>2.8000000000000001E-2</c:v>
                  </c:pt>
                </c:numCache>
              </c:numRef>
            </c:plus>
            <c:minus>
              <c:numRef>
                <c:f>Sheet1!$M$45:$M$48</c:f>
                <c:numCache>
                  <c:formatCode>General</c:formatCode>
                  <c:ptCount val="4"/>
                  <c:pt idx="0">
                    <c:v>3.0000000000000002E-2</c:v>
                  </c:pt>
                  <c:pt idx="1">
                    <c:v>4.1000000000000002E-2</c:v>
                  </c:pt>
                  <c:pt idx="2">
                    <c:v>1.9000000000000111E-2</c:v>
                  </c:pt>
                  <c:pt idx="3">
                    <c:v>2.8000000000000001E-2</c:v>
                  </c:pt>
                </c:numCache>
              </c:numRef>
            </c:minus>
          </c:errBars>
          <c:cat>
            <c:strRef>
              <c:f>Sheet2!$A$105:$A$108</c:f>
              <c:strCache>
                <c:ptCount val="4"/>
                <c:pt idx="0">
                  <c:v>7 j</c:v>
                </c:pt>
                <c:pt idx="1">
                  <c:v>14 j</c:v>
                </c:pt>
                <c:pt idx="2">
                  <c:v>21 j</c:v>
                </c:pt>
                <c:pt idx="3">
                  <c:v>28 j</c:v>
                </c:pt>
              </c:strCache>
            </c:strRef>
          </c:cat>
          <c:val>
            <c:numRef>
              <c:f>Sheet2!$F$105:$F$108</c:f>
              <c:numCache>
                <c:formatCode>General</c:formatCode>
                <c:ptCount val="4"/>
                <c:pt idx="0">
                  <c:v>10.1</c:v>
                </c:pt>
                <c:pt idx="1">
                  <c:v>9.98</c:v>
                </c:pt>
                <c:pt idx="2">
                  <c:v>9.7900000000000009</c:v>
                </c:pt>
                <c:pt idx="3">
                  <c:v>9.5500000000000007</c:v>
                </c:pt>
              </c:numCache>
            </c:numRef>
          </c:val>
        </c:ser>
        <c:axId val="68861952"/>
        <c:axId val="68863872"/>
      </c:barChart>
      <c:catAx>
        <c:axId val="68861952"/>
        <c:scaling>
          <c:orientation val="minMax"/>
        </c:scaling>
        <c:axPos val="b"/>
        <c:title>
          <c:tx>
            <c:rich>
              <a:bodyPr/>
              <a:lstStyle/>
              <a:p>
                <a:pPr>
                  <a:defRPr/>
                </a:pPr>
                <a:r>
                  <a:rPr lang="fr-FR">
                    <a:latin typeface="Times New Roman" pitchFamily="18" charset="0"/>
                    <a:cs typeface="Times New Roman" pitchFamily="18" charset="0"/>
                  </a:rPr>
                  <a:t>Entreposag à +4°C en jours</a:t>
                </a:r>
              </a:p>
            </c:rich>
          </c:tx>
          <c:layout>
            <c:manualLayout>
              <c:xMode val="edge"/>
              <c:yMode val="edge"/>
              <c:x val="0.27156813862217066"/>
              <c:y val="0.93550914332429769"/>
            </c:manualLayout>
          </c:layout>
        </c:title>
        <c:numFmt formatCode="General" sourceLinked="1"/>
        <c:tickLblPos val="nextTo"/>
        <c:spPr>
          <a:ln>
            <a:solidFill>
              <a:sysClr val="windowText" lastClr="000000"/>
            </a:solidFill>
          </a:ln>
        </c:spPr>
        <c:txPr>
          <a:bodyPr rot="0" vert="horz"/>
          <a:lstStyle/>
          <a:p>
            <a:pPr>
              <a:defRPr b="1"/>
            </a:pPr>
            <a:endParaRPr lang="fr-FR"/>
          </a:p>
        </c:txPr>
        <c:crossAx val="68863872"/>
        <c:crosses val="autoZero"/>
        <c:auto val="1"/>
        <c:lblAlgn val="ctr"/>
        <c:lblOffset val="100"/>
      </c:catAx>
      <c:valAx>
        <c:axId val="68863872"/>
        <c:scaling>
          <c:orientation val="minMax"/>
          <c:max val="10.5"/>
          <c:min val="7"/>
        </c:scaling>
        <c:axPos val="l"/>
        <c:title>
          <c:tx>
            <c:rich>
              <a:bodyPr/>
              <a:lstStyle/>
              <a:p>
                <a:pPr>
                  <a:defRPr/>
                </a:pPr>
                <a:r>
                  <a:rPr lang="fr-FR">
                    <a:latin typeface="Times New Roman" pitchFamily="18" charset="0"/>
                    <a:cs typeface="Times New Roman" pitchFamily="18" charset="0"/>
                  </a:rPr>
                  <a:t>log UFC/ml</a:t>
                </a:r>
              </a:p>
            </c:rich>
          </c:tx>
          <c:layout/>
        </c:title>
        <c:numFmt formatCode="General" sourceLinked="1"/>
        <c:tickLblPos val="nextTo"/>
        <c:spPr>
          <a:ln>
            <a:solidFill>
              <a:sysClr val="windowText" lastClr="000000"/>
            </a:solidFill>
          </a:ln>
        </c:spPr>
        <c:txPr>
          <a:bodyPr rot="0" vert="horz"/>
          <a:lstStyle/>
          <a:p>
            <a:pPr>
              <a:defRPr b="1"/>
            </a:pPr>
            <a:endParaRPr lang="fr-FR"/>
          </a:p>
        </c:txPr>
        <c:crossAx val="68861952"/>
        <c:crosses val="autoZero"/>
        <c:crossBetween val="between"/>
        <c:majorUnit val="0.5"/>
      </c:valAx>
    </c:plotArea>
    <c:plotVisOnly val="1"/>
    <c:dispBlanksAs val="gap"/>
  </c:chart>
  <c:spPr>
    <a:ln>
      <a:solidFill>
        <a:schemeClr val="bg1"/>
      </a:solidFill>
    </a:ln>
  </c:spPr>
  <c:externalData r:id="rId1"/>
  <c:userShapes r:id="rId2"/>
</c:chartSpace>
</file>

<file path=word/charts/chart37.xml><?xml version="1.0" encoding="utf-8"?>
<c:chartSpace xmlns:c="http://schemas.openxmlformats.org/drawingml/2006/chart" xmlns:a="http://schemas.openxmlformats.org/drawingml/2006/main" xmlns:r="http://schemas.openxmlformats.org/officeDocument/2006/relationships">
  <c:date1904 val="1"/>
  <c:lang val="fr-FR"/>
  <c:style val="26"/>
  <c:chart>
    <c:title>
      <c:tx>
        <c:rich>
          <a:bodyPr/>
          <a:lstStyle/>
          <a:p>
            <a:pPr>
              <a:defRPr/>
            </a:pPr>
            <a:r>
              <a:rPr lang="fr-FR" b="0">
                <a:latin typeface="Times New Roman" pitchFamily="18" charset="0"/>
                <a:cs typeface="Times New Roman" pitchFamily="18" charset="0"/>
              </a:rPr>
              <a:t>A</a:t>
            </a:r>
          </a:p>
        </c:rich>
      </c:tx>
      <c:layout>
        <c:manualLayout>
          <c:xMode val="edge"/>
          <c:yMode val="edge"/>
          <c:x val="8.3932853717026915E-3"/>
          <c:y val="0"/>
        </c:manualLayout>
      </c:layout>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21438848920863321"/>
          <c:y val="8.9740000448661955E-2"/>
          <c:w val="0.75849999999999995"/>
          <c:h val="0.694589586558091"/>
        </c:manualLayout>
      </c:layout>
      <c:barChart>
        <c:barDir val="col"/>
        <c:grouping val="clustered"/>
        <c:ser>
          <c:idx val="0"/>
          <c:order val="0"/>
          <c:tx>
            <c:strRef>
              <c:f>Sheet2!$B$104</c:f>
              <c:strCache>
                <c:ptCount val="1"/>
                <c:pt idx="0">
                  <c:v>1 (Temoin)</c:v>
                </c:pt>
              </c:strCache>
            </c:strRef>
          </c:tx>
          <c:spPr>
            <a:solidFill>
              <a:srgbClr val="0070C0"/>
            </a:solidFill>
            <a:ln>
              <a:solidFill>
                <a:srgbClr val="0070C0"/>
              </a:solidFill>
            </a:ln>
          </c:spPr>
          <c:errBars>
            <c:errBarType val="both"/>
            <c:errValType val="cust"/>
            <c:plus>
              <c:numRef>
                <c:f>Sheet1!$I$45:$I$48</c:f>
                <c:numCache>
                  <c:formatCode>General</c:formatCode>
                  <c:ptCount val="4"/>
                  <c:pt idx="0">
                    <c:v>5.3000000000000012E-2</c:v>
                  </c:pt>
                  <c:pt idx="1">
                    <c:v>3.5999999999999997E-2</c:v>
                  </c:pt>
                  <c:pt idx="2">
                    <c:v>1.6000000000000021E-2</c:v>
                  </c:pt>
                  <c:pt idx="3">
                    <c:v>2.4E-2</c:v>
                  </c:pt>
                </c:numCache>
              </c:numRef>
            </c:plus>
            <c:minus>
              <c:numRef>
                <c:f>Sheet1!$I$45:$I$48</c:f>
                <c:numCache>
                  <c:formatCode>General</c:formatCode>
                  <c:ptCount val="4"/>
                  <c:pt idx="0">
                    <c:v>5.3000000000000012E-2</c:v>
                  </c:pt>
                  <c:pt idx="1">
                    <c:v>3.5999999999999997E-2</c:v>
                  </c:pt>
                  <c:pt idx="2">
                    <c:v>1.6000000000000021E-2</c:v>
                  </c:pt>
                  <c:pt idx="3">
                    <c:v>2.4E-2</c:v>
                  </c:pt>
                </c:numCache>
              </c:numRef>
            </c:minus>
          </c:errBars>
          <c:cat>
            <c:strRef>
              <c:f>Sheet2!$A$105:$A$108</c:f>
              <c:strCache>
                <c:ptCount val="4"/>
                <c:pt idx="0">
                  <c:v>7 j</c:v>
                </c:pt>
                <c:pt idx="1">
                  <c:v>14 j</c:v>
                </c:pt>
                <c:pt idx="2">
                  <c:v>21 j</c:v>
                </c:pt>
                <c:pt idx="3">
                  <c:v>28 j</c:v>
                </c:pt>
              </c:strCache>
            </c:strRef>
          </c:cat>
          <c:val>
            <c:numRef>
              <c:f>Sheet2!$B$105:$B$108</c:f>
              <c:numCache>
                <c:formatCode>General</c:formatCode>
                <c:ptCount val="4"/>
                <c:pt idx="0">
                  <c:v>7.09</c:v>
                </c:pt>
                <c:pt idx="1">
                  <c:v>6.84</c:v>
                </c:pt>
                <c:pt idx="2">
                  <c:v>6.4300000000000024</c:v>
                </c:pt>
                <c:pt idx="3">
                  <c:v>6.09</c:v>
                </c:pt>
              </c:numCache>
            </c:numRef>
          </c:val>
        </c:ser>
        <c:ser>
          <c:idx val="1"/>
          <c:order val="1"/>
          <c:tx>
            <c:strRef>
              <c:f>Sheet2!$C$104</c:f>
              <c:strCache>
                <c:ptCount val="1"/>
                <c:pt idx="0">
                  <c:v>2 (Lactoserum)</c:v>
                </c:pt>
              </c:strCache>
            </c:strRef>
          </c:tx>
          <c:spPr>
            <a:solidFill>
              <a:srgbClr val="FF9900"/>
            </a:solidFill>
            <a:ln>
              <a:solidFill>
                <a:srgbClr val="FF9900"/>
              </a:solidFill>
            </a:ln>
          </c:spPr>
          <c:errBars>
            <c:errBarType val="both"/>
            <c:errValType val="cust"/>
            <c:plus>
              <c:numRef>
                <c:f>Sheet1!$J$45:$J$48</c:f>
                <c:numCache>
                  <c:formatCode>General</c:formatCode>
                  <c:ptCount val="4"/>
                  <c:pt idx="0">
                    <c:v>3.7999999999999999E-2</c:v>
                  </c:pt>
                  <c:pt idx="1">
                    <c:v>4.3000000000000003E-2</c:v>
                  </c:pt>
                  <c:pt idx="2">
                    <c:v>3.7999999999999999E-2</c:v>
                  </c:pt>
                  <c:pt idx="3">
                    <c:v>3.1000000000000052E-2</c:v>
                  </c:pt>
                </c:numCache>
              </c:numRef>
            </c:plus>
            <c:minus>
              <c:numRef>
                <c:f>Sheet1!$J$45:$J$48</c:f>
                <c:numCache>
                  <c:formatCode>General</c:formatCode>
                  <c:ptCount val="4"/>
                  <c:pt idx="0">
                    <c:v>3.7999999999999999E-2</c:v>
                  </c:pt>
                  <c:pt idx="1">
                    <c:v>4.3000000000000003E-2</c:v>
                  </c:pt>
                  <c:pt idx="2">
                    <c:v>3.7999999999999999E-2</c:v>
                  </c:pt>
                  <c:pt idx="3">
                    <c:v>3.1000000000000052E-2</c:v>
                  </c:pt>
                </c:numCache>
              </c:numRef>
            </c:minus>
          </c:errBars>
          <c:cat>
            <c:strRef>
              <c:f>Sheet2!$A$105:$A$108</c:f>
              <c:strCache>
                <c:ptCount val="4"/>
                <c:pt idx="0">
                  <c:v>7 j</c:v>
                </c:pt>
                <c:pt idx="1">
                  <c:v>14 j</c:v>
                </c:pt>
                <c:pt idx="2">
                  <c:v>21 j</c:v>
                </c:pt>
                <c:pt idx="3">
                  <c:v>28 j</c:v>
                </c:pt>
              </c:strCache>
            </c:strRef>
          </c:cat>
          <c:val>
            <c:numRef>
              <c:f>Sheet2!$C$105:$C$108</c:f>
              <c:numCache>
                <c:formatCode>General</c:formatCode>
                <c:ptCount val="4"/>
                <c:pt idx="0">
                  <c:v>9.92</c:v>
                </c:pt>
                <c:pt idx="1">
                  <c:v>9.4600000000000026</c:v>
                </c:pt>
                <c:pt idx="2">
                  <c:v>9.1300000000000008</c:v>
                </c:pt>
                <c:pt idx="3">
                  <c:v>8.59</c:v>
                </c:pt>
              </c:numCache>
            </c:numRef>
          </c:val>
        </c:ser>
        <c:ser>
          <c:idx val="2"/>
          <c:order val="2"/>
          <c:tx>
            <c:strRef>
              <c:f>Sheet2!$D$104</c:f>
              <c:strCache>
                <c:ptCount val="1"/>
                <c:pt idx="0">
                  <c:v>3 (Promilk)</c:v>
                </c:pt>
              </c:strCache>
            </c:strRef>
          </c:tx>
          <c:spPr>
            <a:solidFill>
              <a:srgbClr val="92D050"/>
            </a:solidFill>
            <a:ln>
              <a:solidFill>
                <a:srgbClr val="92D050"/>
              </a:solidFill>
            </a:ln>
          </c:spPr>
          <c:errBars>
            <c:errBarType val="both"/>
            <c:errValType val="cust"/>
            <c:plus>
              <c:numRef>
                <c:f>Sheet1!$K$45:$K$48</c:f>
                <c:numCache>
                  <c:formatCode>General</c:formatCode>
                  <c:ptCount val="4"/>
                  <c:pt idx="0">
                    <c:v>2.5999999999999999E-2</c:v>
                  </c:pt>
                  <c:pt idx="1">
                    <c:v>3.2000000000000042E-2</c:v>
                  </c:pt>
                  <c:pt idx="2">
                    <c:v>2.8000000000000001E-2</c:v>
                  </c:pt>
                  <c:pt idx="3">
                    <c:v>2.3E-2</c:v>
                  </c:pt>
                </c:numCache>
              </c:numRef>
            </c:plus>
            <c:minus>
              <c:numRef>
                <c:f>Sheet1!$K$45:$K$48</c:f>
                <c:numCache>
                  <c:formatCode>General</c:formatCode>
                  <c:ptCount val="4"/>
                  <c:pt idx="0">
                    <c:v>2.5999999999999999E-2</c:v>
                  </c:pt>
                  <c:pt idx="1">
                    <c:v>3.2000000000000042E-2</c:v>
                  </c:pt>
                  <c:pt idx="2">
                    <c:v>2.8000000000000001E-2</c:v>
                  </c:pt>
                  <c:pt idx="3">
                    <c:v>2.3E-2</c:v>
                  </c:pt>
                </c:numCache>
              </c:numRef>
            </c:minus>
          </c:errBars>
          <c:cat>
            <c:strRef>
              <c:f>Sheet2!$A$105:$A$108</c:f>
              <c:strCache>
                <c:ptCount val="4"/>
                <c:pt idx="0">
                  <c:v>7 j</c:v>
                </c:pt>
                <c:pt idx="1">
                  <c:v>14 j</c:v>
                </c:pt>
                <c:pt idx="2">
                  <c:v>21 j</c:v>
                </c:pt>
                <c:pt idx="3">
                  <c:v>28 j</c:v>
                </c:pt>
              </c:strCache>
            </c:strRef>
          </c:cat>
          <c:val>
            <c:numRef>
              <c:f>Sheet2!$D$105:$D$108</c:f>
              <c:numCache>
                <c:formatCode>General</c:formatCode>
                <c:ptCount val="4"/>
                <c:pt idx="0">
                  <c:v>8.3600000000000048</c:v>
                </c:pt>
                <c:pt idx="1">
                  <c:v>7.8199999999999985</c:v>
                </c:pt>
                <c:pt idx="2">
                  <c:v>7.52</c:v>
                </c:pt>
                <c:pt idx="3">
                  <c:v>7.14</c:v>
                </c:pt>
              </c:numCache>
            </c:numRef>
          </c:val>
        </c:ser>
        <c:ser>
          <c:idx val="3"/>
          <c:order val="3"/>
          <c:tx>
            <c:strRef>
              <c:f>Sheet2!$E$104</c:f>
              <c:strCache>
                <c:ptCount val="1"/>
                <c:pt idx="0">
                  <c:v>4 (H. Caseine)</c:v>
                </c:pt>
              </c:strCache>
            </c:strRef>
          </c:tx>
          <c:spPr>
            <a:solidFill>
              <a:srgbClr val="990099"/>
            </a:solidFill>
            <a:ln>
              <a:solidFill>
                <a:srgbClr val="990099"/>
              </a:solidFill>
            </a:ln>
          </c:spPr>
          <c:errBars>
            <c:errBarType val="both"/>
            <c:errValType val="cust"/>
            <c:plus>
              <c:numRef>
                <c:f>Sheet1!$L$45:$L$48</c:f>
                <c:numCache>
                  <c:formatCode>General</c:formatCode>
                  <c:ptCount val="4"/>
                  <c:pt idx="0">
                    <c:v>6.1000000000000013E-2</c:v>
                  </c:pt>
                  <c:pt idx="1">
                    <c:v>3.1000000000000052E-2</c:v>
                  </c:pt>
                  <c:pt idx="2">
                    <c:v>3.3000000000000002E-2</c:v>
                  </c:pt>
                  <c:pt idx="3">
                    <c:v>2.9000000000000001E-2</c:v>
                  </c:pt>
                </c:numCache>
              </c:numRef>
            </c:plus>
            <c:minus>
              <c:numRef>
                <c:f>Sheet1!$L$45:$L$48</c:f>
                <c:numCache>
                  <c:formatCode>General</c:formatCode>
                  <c:ptCount val="4"/>
                  <c:pt idx="0">
                    <c:v>6.1000000000000013E-2</c:v>
                  </c:pt>
                  <c:pt idx="1">
                    <c:v>3.1000000000000052E-2</c:v>
                  </c:pt>
                  <c:pt idx="2">
                    <c:v>3.3000000000000002E-2</c:v>
                  </c:pt>
                  <c:pt idx="3">
                    <c:v>2.9000000000000001E-2</c:v>
                  </c:pt>
                </c:numCache>
              </c:numRef>
            </c:minus>
          </c:errBars>
          <c:cat>
            <c:strRef>
              <c:f>Sheet2!$A$105:$A$108</c:f>
              <c:strCache>
                <c:ptCount val="4"/>
                <c:pt idx="0">
                  <c:v>7 j</c:v>
                </c:pt>
                <c:pt idx="1">
                  <c:v>14 j</c:v>
                </c:pt>
                <c:pt idx="2">
                  <c:v>21 j</c:v>
                </c:pt>
                <c:pt idx="3">
                  <c:v>28 j</c:v>
                </c:pt>
              </c:strCache>
            </c:strRef>
          </c:cat>
          <c:val>
            <c:numRef>
              <c:f>Sheet2!$E$105:$E$108</c:f>
              <c:numCache>
                <c:formatCode>General</c:formatCode>
                <c:ptCount val="4"/>
                <c:pt idx="0">
                  <c:v>9.19</c:v>
                </c:pt>
                <c:pt idx="1">
                  <c:v>8.81</c:v>
                </c:pt>
                <c:pt idx="2">
                  <c:v>8.39</c:v>
                </c:pt>
                <c:pt idx="3">
                  <c:v>7.98</c:v>
                </c:pt>
              </c:numCache>
            </c:numRef>
          </c:val>
        </c:ser>
        <c:ser>
          <c:idx val="4"/>
          <c:order val="4"/>
          <c:tx>
            <c:strRef>
              <c:f>Sheet2!$F$104</c:f>
              <c:strCache>
                <c:ptCount val="1"/>
                <c:pt idx="0">
                  <c:v>5 (H. Proteine)</c:v>
                </c:pt>
              </c:strCache>
            </c:strRef>
          </c:tx>
          <c:spPr>
            <a:solidFill>
              <a:srgbClr val="FF33CC"/>
            </a:solidFill>
            <a:ln>
              <a:solidFill>
                <a:srgbClr val="FF33CC"/>
              </a:solidFill>
            </a:ln>
          </c:spPr>
          <c:errBars>
            <c:errBarType val="both"/>
            <c:errValType val="cust"/>
            <c:plus>
              <c:numRef>
                <c:f>Sheet1!$M$45:$M$48</c:f>
                <c:numCache>
                  <c:formatCode>General</c:formatCode>
                  <c:ptCount val="4"/>
                  <c:pt idx="0">
                    <c:v>4.8000000000000001E-2</c:v>
                  </c:pt>
                  <c:pt idx="1">
                    <c:v>8.2000000000000003E-2</c:v>
                  </c:pt>
                  <c:pt idx="2">
                    <c:v>4.5999999999999999E-2</c:v>
                  </c:pt>
                  <c:pt idx="3">
                    <c:v>3.5999999999999997E-2</c:v>
                  </c:pt>
                </c:numCache>
              </c:numRef>
            </c:plus>
            <c:minus>
              <c:numRef>
                <c:f>Sheet1!$M$45:$M$48</c:f>
                <c:numCache>
                  <c:formatCode>General</c:formatCode>
                  <c:ptCount val="4"/>
                  <c:pt idx="0">
                    <c:v>4.8000000000000001E-2</c:v>
                  </c:pt>
                  <c:pt idx="1">
                    <c:v>8.2000000000000003E-2</c:v>
                  </c:pt>
                  <c:pt idx="2">
                    <c:v>4.5999999999999999E-2</c:v>
                  </c:pt>
                  <c:pt idx="3">
                    <c:v>3.5999999999999997E-2</c:v>
                  </c:pt>
                </c:numCache>
              </c:numRef>
            </c:minus>
          </c:errBars>
          <c:cat>
            <c:strRef>
              <c:f>Sheet2!$A$105:$A$108</c:f>
              <c:strCache>
                <c:ptCount val="4"/>
                <c:pt idx="0">
                  <c:v>7 j</c:v>
                </c:pt>
                <c:pt idx="1">
                  <c:v>14 j</c:v>
                </c:pt>
                <c:pt idx="2">
                  <c:v>21 j</c:v>
                </c:pt>
                <c:pt idx="3">
                  <c:v>28 j</c:v>
                </c:pt>
              </c:strCache>
            </c:strRef>
          </c:cat>
          <c:val>
            <c:numRef>
              <c:f>Sheet2!$F$105:$F$108</c:f>
              <c:numCache>
                <c:formatCode>General</c:formatCode>
                <c:ptCount val="4"/>
                <c:pt idx="0">
                  <c:v>9.7800000000000011</c:v>
                </c:pt>
                <c:pt idx="1">
                  <c:v>9.57</c:v>
                </c:pt>
                <c:pt idx="2">
                  <c:v>9.2800000000000011</c:v>
                </c:pt>
                <c:pt idx="3">
                  <c:v>8.92</c:v>
                </c:pt>
              </c:numCache>
            </c:numRef>
          </c:val>
        </c:ser>
        <c:axId val="81427072"/>
        <c:axId val="81437440"/>
      </c:barChart>
      <c:catAx>
        <c:axId val="81427072"/>
        <c:scaling>
          <c:orientation val="minMax"/>
        </c:scaling>
        <c:axPos val="b"/>
        <c:title>
          <c:tx>
            <c:rich>
              <a:bodyPr/>
              <a:lstStyle/>
              <a:p>
                <a:pPr>
                  <a:defRPr/>
                </a:pPr>
                <a:r>
                  <a:rPr lang="en-US">
                    <a:latin typeface="Times New Roman" pitchFamily="18" charset="0"/>
                    <a:cs typeface="Times New Roman" pitchFamily="18" charset="0"/>
                  </a:rPr>
                  <a:t>Entreposage à +4°C en jours</a:t>
                </a:r>
              </a:p>
            </c:rich>
          </c:tx>
          <c:layout>
            <c:manualLayout>
              <c:xMode val="edge"/>
              <c:yMode val="edge"/>
              <c:x val="0.31394286145886596"/>
              <c:y val="0.91336159903089031"/>
            </c:manualLayout>
          </c:layout>
        </c:title>
        <c:numFmt formatCode="General" sourceLinked="1"/>
        <c:tickLblPos val="nextTo"/>
        <c:spPr>
          <a:ln>
            <a:solidFill>
              <a:sysClr val="windowText" lastClr="000000"/>
            </a:solidFill>
          </a:ln>
        </c:spPr>
        <c:txPr>
          <a:bodyPr/>
          <a:lstStyle/>
          <a:p>
            <a:pPr>
              <a:defRPr b="1"/>
            </a:pPr>
            <a:endParaRPr lang="fr-FR"/>
          </a:p>
        </c:txPr>
        <c:crossAx val="81437440"/>
        <c:crosses val="autoZero"/>
        <c:auto val="1"/>
        <c:lblAlgn val="ctr"/>
        <c:lblOffset val="100"/>
      </c:catAx>
      <c:valAx>
        <c:axId val="81437440"/>
        <c:scaling>
          <c:orientation val="minMax"/>
          <c:max val="10"/>
          <c:min val="5.5"/>
        </c:scaling>
        <c:axPos val="l"/>
        <c:title>
          <c:tx>
            <c:rich>
              <a:bodyPr rot="-5400000" vert="horz"/>
              <a:lstStyle/>
              <a:p>
                <a:pPr>
                  <a:defRPr/>
                </a:pPr>
                <a:r>
                  <a:rPr lang="en-US">
                    <a:latin typeface="Times New Roman" pitchFamily="18" charset="0"/>
                    <a:cs typeface="Times New Roman" pitchFamily="18" charset="0"/>
                  </a:rPr>
                  <a:t>log UFC/ml</a:t>
                </a:r>
              </a:p>
            </c:rich>
          </c:tx>
          <c:layout/>
        </c:title>
        <c:numFmt formatCode="General" sourceLinked="1"/>
        <c:tickLblPos val="nextTo"/>
        <c:spPr>
          <a:ln>
            <a:solidFill>
              <a:sysClr val="windowText" lastClr="000000"/>
            </a:solidFill>
          </a:ln>
        </c:spPr>
        <c:txPr>
          <a:bodyPr/>
          <a:lstStyle/>
          <a:p>
            <a:pPr>
              <a:defRPr b="1"/>
            </a:pPr>
            <a:endParaRPr lang="fr-FR"/>
          </a:p>
        </c:txPr>
        <c:crossAx val="81427072"/>
        <c:crosses val="autoZero"/>
        <c:crossBetween val="between"/>
        <c:majorUnit val="0.5"/>
      </c:valAx>
    </c:plotArea>
    <c:plotVisOnly val="1"/>
    <c:dispBlanksAs val="gap"/>
  </c:chart>
  <c:spPr>
    <a:ln>
      <a:solidFill>
        <a:schemeClr val="bg1"/>
      </a:solidFill>
    </a:ln>
  </c:spPr>
  <c:externalData r:id="rId1"/>
  <c:userShapes r:id="rId2"/>
</c:chartSpace>
</file>

<file path=word/charts/chart38.xml><?xml version="1.0" encoding="utf-8"?>
<c:chartSpace xmlns:c="http://schemas.openxmlformats.org/drawingml/2006/chart" xmlns:a="http://schemas.openxmlformats.org/drawingml/2006/main" xmlns:r="http://schemas.openxmlformats.org/officeDocument/2006/relationships">
  <c:date1904 val="1"/>
  <c:lang val="fr-FR"/>
  <c:style val="26"/>
  <c:chart>
    <c:title>
      <c:tx>
        <c:rich>
          <a:bodyPr/>
          <a:lstStyle/>
          <a:p>
            <a:pPr>
              <a:defRPr/>
            </a:pPr>
            <a:r>
              <a:rPr lang="fr-FR" b="0">
                <a:latin typeface="Times New Roman" pitchFamily="18" charset="0"/>
                <a:cs typeface="Times New Roman" pitchFamily="18" charset="0"/>
              </a:rPr>
              <a:t>D</a:t>
            </a:r>
          </a:p>
        </c:rich>
      </c:tx>
      <c:layout>
        <c:manualLayout>
          <c:xMode val="edge"/>
          <c:yMode val="edge"/>
          <c:x val="7.9129574678535822E-3"/>
          <c:y val="0"/>
        </c:manualLayout>
      </c:layout>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2343968115096724"/>
          <c:y val="0.13865211071723604"/>
          <c:w val="0.7618689078006663"/>
          <c:h val="0.66132897120254364"/>
        </c:manualLayout>
      </c:layout>
      <c:barChart>
        <c:barDir val="col"/>
        <c:grouping val="clustered"/>
        <c:ser>
          <c:idx val="0"/>
          <c:order val="0"/>
          <c:tx>
            <c:strRef>
              <c:f>Sheet2!$B$101</c:f>
              <c:strCache>
                <c:ptCount val="1"/>
                <c:pt idx="0">
                  <c:v>1 (Temoin)</c:v>
                </c:pt>
              </c:strCache>
            </c:strRef>
          </c:tx>
          <c:spPr>
            <a:solidFill>
              <a:srgbClr val="0070C0"/>
            </a:solidFill>
            <a:ln>
              <a:solidFill>
                <a:srgbClr val="0070C0"/>
              </a:solidFill>
            </a:ln>
          </c:spPr>
          <c:errBars>
            <c:errBarType val="both"/>
            <c:errValType val="cust"/>
            <c:plus>
              <c:numRef>
                <c:f>Sheet2!$I$102:$I$105</c:f>
                <c:numCache>
                  <c:formatCode>General</c:formatCode>
                  <c:ptCount val="4"/>
                  <c:pt idx="0">
                    <c:v>6.5000000000000002E-2</c:v>
                  </c:pt>
                  <c:pt idx="1">
                    <c:v>3.2000000000000042E-2</c:v>
                  </c:pt>
                  <c:pt idx="2">
                    <c:v>2.0000000000000011E-2</c:v>
                  </c:pt>
                  <c:pt idx="3">
                    <c:v>2.0000000000000011E-2</c:v>
                  </c:pt>
                </c:numCache>
              </c:numRef>
            </c:plus>
            <c:minus>
              <c:numRef>
                <c:f>Sheet2!$I$102:$I$105</c:f>
                <c:numCache>
                  <c:formatCode>General</c:formatCode>
                  <c:ptCount val="4"/>
                  <c:pt idx="0">
                    <c:v>6.5000000000000002E-2</c:v>
                  </c:pt>
                  <c:pt idx="1">
                    <c:v>3.2000000000000042E-2</c:v>
                  </c:pt>
                  <c:pt idx="2">
                    <c:v>2.0000000000000011E-2</c:v>
                  </c:pt>
                  <c:pt idx="3">
                    <c:v>2.0000000000000011E-2</c:v>
                  </c:pt>
                </c:numCache>
              </c:numRef>
            </c:minus>
          </c:errBars>
          <c:cat>
            <c:strRef>
              <c:f>Sheet2!$A$102:$A$105</c:f>
              <c:strCache>
                <c:ptCount val="4"/>
                <c:pt idx="0">
                  <c:v>7 j</c:v>
                </c:pt>
                <c:pt idx="1">
                  <c:v>14 j</c:v>
                </c:pt>
                <c:pt idx="2">
                  <c:v>21 j</c:v>
                </c:pt>
                <c:pt idx="3">
                  <c:v>28 j</c:v>
                </c:pt>
              </c:strCache>
            </c:strRef>
          </c:cat>
          <c:val>
            <c:numRef>
              <c:f>Sheet2!$B$102:$B$105</c:f>
              <c:numCache>
                <c:formatCode>General</c:formatCode>
                <c:ptCount val="4"/>
                <c:pt idx="0">
                  <c:v>8.52</c:v>
                </c:pt>
                <c:pt idx="1">
                  <c:v>7.81</c:v>
                </c:pt>
                <c:pt idx="2">
                  <c:v>7.23</c:v>
                </c:pt>
                <c:pt idx="3">
                  <c:v>6.7700000000000014</c:v>
                </c:pt>
              </c:numCache>
            </c:numRef>
          </c:val>
        </c:ser>
        <c:ser>
          <c:idx val="1"/>
          <c:order val="1"/>
          <c:tx>
            <c:strRef>
              <c:f>Sheet2!$C$101</c:f>
              <c:strCache>
                <c:ptCount val="1"/>
                <c:pt idx="0">
                  <c:v>2 (Lactoserum)</c:v>
                </c:pt>
              </c:strCache>
            </c:strRef>
          </c:tx>
          <c:spPr>
            <a:solidFill>
              <a:srgbClr val="FF9900"/>
            </a:solidFill>
            <a:ln>
              <a:solidFill>
                <a:srgbClr val="FF9900"/>
              </a:solidFill>
            </a:ln>
          </c:spPr>
          <c:errBars>
            <c:errBarType val="both"/>
            <c:errValType val="cust"/>
            <c:plus>
              <c:numRef>
                <c:f>Sheet2!$J$102:$J$105</c:f>
                <c:numCache>
                  <c:formatCode>General</c:formatCode>
                  <c:ptCount val="4"/>
                  <c:pt idx="0">
                    <c:v>6.1000000000000013E-2</c:v>
                  </c:pt>
                  <c:pt idx="1">
                    <c:v>6.6000000000000003E-2</c:v>
                  </c:pt>
                  <c:pt idx="2">
                    <c:v>2.5999999999999999E-2</c:v>
                  </c:pt>
                  <c:pt idx="3">
                    <c:v>2.1000000000000012E-2</c:v>
                  </c:pt>
                </c:numCache>
              </c:numRef>
            </c:plus>
            <c:minus>
              <c:numRef>
                <c:f>Sheet2!$J$102:$J$105</c:f>
                <c:numCache>
                  <c:formatCode>General</c:formatCode>
                  <c:ptCount val="4"/>
                  <c:pt idx="0">
                    <c:v>6.1000000000000013E-2</c:v>
                  </c:pt>
                  <c:pt idx="1">
                    <c:v>6.6000000000000003E-2</c:v>
                  </c:pt>
                  <c:pt idx="2">
                    <c:v>2.5999999999999999E-2</c:v>
                  </c:pt>
                  <c:pt idx="3">
                    <c:v>2.1000000000000012E-2</c:v>
                  </c:pt>
                </c:numCache>
              </c:numRef>
            </c:minus>
          </c:errBars>
          <c:cat>
            <c:strRef>
              <c:f>Sheet2!$A$102:$A$105</c:f>
              <c:strCache>
                <c:ptCount val="4"/>
                <c:pt idx="0">
                  <c:v>7 j</c:v>
                </c:pt>
                <c:pt idx="1">
                  <c:v>14 j</c:v>
                </c:pt>
                <c:pt idx="2">
                  <c:v>21 j</c:v>
                </c:pt>
                <c:pt idx="3">
                  <c:v>28 j</c:v>
                </c:pt>
              </c:strCache>
            </c:strRef>
          </c:cat>
          <c:val>
            <c:numRef>
              <c:f>Sheet2!$C$102:$C$105</c:f>
              <c:numCache>
                <c:formatCode>General</c:formatCode>
                <c:ptCount val="4"/>
                <c:pt idx="0">
                  <c:v>10.17</c:v>
                </c:pt>
                <c:pt idx="1">
                  <c:v>9.61</c:v>
                </c:pt>
                <c:pt idx="2">
                  <c:v>8.2000000000000011</c:v>
                </c:pt>
                <c:pt idx="3">
                  <c:v>7.6599999999999975</c:v>
                </c:pt>
              </c:numCache>
            </c:numRef>
          </c:val>
        </c:ser>
        <c:ser>
          <c:idx val="2"/>
          <c:order val="2"/>
          <c:tx>
            <c:strRef>
              <c:f>Sheet2!$D$101</c:f>
              <c:strCache>
                <c:ptCount val="1"/>
                <c:pt idx="0">
                  <c:v>3 (Promilk)</c:v>
                </c:pt>
              </c:strCache>
            </c:strRef>
          </c:tx>
          <c:spPr>
            <a:solidFill>
              <a:srgbClr val="92D050"/>
            </a:solidFill>
            <a:ln>
              <a:solidFill>
                <a:srgbClr val="92D050"/>
              </a:solidFill>
            </a:ln>
          </c:spPr>
          <c:errBars>
            <c:errBarType val="both"/>
            <c:errValType val="cust"/>
            <c:plus>
              <c:numRef>
                <c:f>Sheet2!$K$102:$K$105</c:f>
                <c:numCache>
                  <c:formatCode>General</c:formatCode>
                  <c:ptCount val="4"/>
                  <c:pt idx="0">
                    <c:v>4.8000000000000001E-2</c:v>
                  </c:pt>
                  <c:pt idx="1">
                    <c:v>2.1999999999999999E-2</c:v>
                  </c:pt>
                  <c:pt idx="2">
                    <c:v>5.8000000000000003E-2</c:v>
                  </c:pt>
                  <c:pt idx="3">
                    <c:v>4.8000000000000001E-2</c:v>
                  </c:pt>
                </c:numCache>
              </c:numRef>
            </c:plus>
            <c:minus>
              <c:numRef>
                <c:f>Sheet2!$K$102:$K$105</c:f>
                <c:numCache>
                  <c:formatCode>General</c:formatCode>
                  <c:ptCount val="4"/>
                  <c:pt idx="0">
                    <c:v>4.8000000000000001E-2</c:v>
                  </c:pt>
                  <c:pt idx="1">
                    <c:v>2.1999999999999999E-2</c:v>
                  </c:pt>
                  <c:pt idx="2">
                    <c:v>5.8000000000000003E-2</c:v>
                  </c:pt>
                  <c:pt idx="3">
                    <c:v>4.8000000000000001E-2</c:v>
                  </c:pt>
                </c:numCache>
              </c:numRef>
            </c:minus>
          </c:errBars>
          <c:cat>
            <c:strRef>
              <c:f>Sheet2!$A$102:$A$105</c:f>
              <c:strCache>
                <c:ptCount val="4"/>
                <c:pt idx="0">
                  <c:v>7 j</c:v>
                </c:pt>
                <c:pt idx="1">
                  <c:v>14 j</c:v>
                </c:pt>
                <c:pt idx="2">
                  <c:v>21 j</c:v>
                </c:pt>
                <c:pt idx="3">
                  <c:v>28 j</c:v>
                </c:pt>
              </c:strCache>
            </c:strRef>
          </c:cat>
          <c:val>
            <c:numRef>
              <c:f>Sheet2!$D$102:$D$105</c:f>
              <c:numCache>
                <c:formatCode>General</c:formatCode>
                <c:ptCount val="4"/>
                <c:pt idx="0">
                  <c:v>9</c:v>
                </c:pt>
                <c:pt idx="1">
                  <c:v>8.3800000000000008</c:v>
                </c:pt>
                <c:pt idx="2">
                  <c:v>7.68</c:v>
                </c:pt>
                <c:pt idx="3">
                  <c:v>6.96</c:v>
                </c:pt>
              </c:numCache>
            </c:numRef>
          </c:val>
        </c:ser>
        <c:ser>
          <c:idx val="3"/>
          <c:order val="3"/>
          <c:tx>
            <c:strRef>
              <c:f>Sheet2!$E$101</c:f>
              <c:strCache>
                <c:ptCount val="1"/>
                <c:pt idx="0">
                  <c:v>4 (H. Caseine)</c:v>
                </c:pt>
              </c:strCache>
            </c:strRef>
          </c:tx>
          <c:spPr>
            <a:solidFill>
              <a:srgbClr val="990099"/>
            </a:solidFill>
            <a:ln>
              <a:solidFill>
                <a:srgbClr val="990099"/>
              </a:solidFill>
            </a:ln>
          </c:spPr>
          <c:errBars>
            <c:errBarType val="both"/>
            <c:errValType val="cust"/>
            <c:plus>
              <c:numRef>
                <c:f>Sheet2!$L$102:$L$105</c:f>
                <c:numCache>
                  <c:formatCode>General</c:formatCode>
                  <c:ptCount val="4"/>
                  <c:pt idx="0">
                    <c:v>4.3000000000000003E-2</c:v>
                  </c:pt>
                  <c:pt idx="1">
                    <c:v>4.3000000000000003E-2</c:v>
                  </c:pt>
                  <c:pt idx="2">
                    <c:v>2.0000000000000011E-2</c:v>
                  </c:pt>
                  <c:pt idx="3">
                    <c:v>2.9000000000000001E-2</c:v>
                  </c:pt>
                </c:numCache>
              </c:numRef>
            </c:plus>
            <c:minus>
              <c:numRef>
                <c:f>Sheet2!$L$102:$L$105</c:f>
                <c:numCache>
                  <c:formatCode>General</c:formatCode>
                  <c:ptCount val="4"/>
                  <c:pt idx="0">
                    <c:v>4.3000000000000003E-2</c:v>
                  </c:pt>
                  <c:pt idx="1">
                    <c:v>4.3000000000000003E-2</c:v>
                  </c:pt>
                  <c:pt idx="2">
                    <c:v>2.0000000000000011E-2</c:v>
                  </c:pt>
                  <c:pt idx="3">
                    <c:v>2.9000000000000001E-2</c:v>
                  </c:pt>
                </c:numCache>
              </c:numRef>
            </c:minus>
          </c:errBars>
          <c:cat>
            <c:strRef>
              <c:f>Sheet2!$A$102:$A$105</c:f>
              <c:strCache>
                <c:ptCount val="4"/>
                <c:pt idx="0">
                  <c:v>7 j</c:v>
                </c:pt>
                <c:pt idx="1">
                  <c:v>14 j</c:v>
                </c:pt>
                <c:pt idx="2">
                  <c:v>21 j</c:v>
                </c:pt>
                <c:pt idx="3">
                  <c:v>28 j</c:v>
                </c:pt>
              </c:strCache>
            </c:strRef>
          </c:cat>
          <c:val>
            <c:numRef>
              <c:f>Sheet2!$E$102:$E$105</c:f>
              <c:numCache>
                <c:formatCode>General</c:formatCode>
                <c:ptCount val="4"/>
                <c:pt idx="0">
                  <c:v>10.050000000000002</c:v>
                </c:pt>
                <c:pt idx="1">
                  <c:v>9.68</c:v>
                </c:pt>
                <c:pt idx="2">
                  <c:v>8.3500000000000068</c:v>
                </c:pt>
                <c:pt idx="3">
                  <c:v>7.68</c:v>
                </c:pt>
              </c:numCache>
            </c:numRef>
          </c:val>
        </c:ser>
        <c:ser>
          <c:idx val="4"/>
          <c:order val="4"/>
          <c:tx>
            <c:strRef>
              <c:f>Sheet2!$F$101</c:f>
              <c:strCache>
                <c:ptCount val="1"/>
                <c:pt idx="0">
                  <c:v>5 (H. Proteine)</c:v>
                </c:pt>
              </c:strCache>
            </c:strRef>
          </c:tx>
          <c:spPr>
            <a:solidFill>
              <a:srgbClr val="FF33CC"/>
            </a:solidFill>
            <a:ln>
              <a:solidFill>
                <a:srgbClr val="FF33CC"/>
              </a:solidFill>
            </a:ln>
          </c:spPr>
          <c:errBars>
            <c:errBarType val="both"/>
            <c:errValType val="cust"/>
            <c:plus>
              <c:numRef>
                <c:f>Sheet2!$M$102:$M$105</c:f>
                <c:numCache>
                  <c:formatCode>General</c:formatCode>
                  <c:ptCount val="4"/>
                  <c:pt idx="0">
                    <c:v>3.1000000000000052E-2</c:v>
                  </c:pt>
                  <c:pt idx="1">
                    <c:v>3.9000000000000014E-2</c:v>
                  </c:pt>
                  <c:pt idx="2">
                    <c:v>6.9000000000000034E-2</c:v>
                  </c:pt>
                  <c:pt idx="3">
                    <c:v>5.1000000000000004E-2</c:v>
                  </c:pt>
                </c:numCache>
              </c:numRef>
            </c:plus>
            <c:minus>
              <c:numRef>
                <c:f>Sheet2!$M$102:$M$105</c:f>
                <c:numCache>
                  <c:formatCode>General</c:formatCode>
                  <c:ptCount val="4"/>
                  <c:pt idx="0">
                    <c:v>3.1000000000000052E-2</c:v>
                  </c:pt>
                  <c:pt idx="1">
                    <c:v>3.9000000000000014E-2</c:v>
                  </c:pt>
                  <c:pt idx="2">
                    <c:v>6.9000000000000034E-2</c:v>
                  </c:pt>
                  <c:pt idx="3">
                    <c:v>5.1000000000000004E-2</c:v>
                  </c:pt>
                </c:numCache>
              </c:numRef>
            </c:minus>
          </c:errBars>
          <c:cat>
            <c:strRef>
              <c:f>Sheet2!$A$102:$A$105</c:f>
              <c:strCache>
                <c:ptCount val="4"/>
                <c:pt idx="0">
                  <c:v>7 j</c:v>
                </c:pt>
                <c:pt idx="1">
                  <c:v>14 j</c:v>
                </c:pt>
                <c:pt idx="2">
                  <c:v>21 j</c:v>
                </c:pt>
                <c:pt idx="3">
                  <c:v>28 j</c:v>
                </c:pt>
              </c:strCache>
            </c:strRef>
          </c:cat>
          <c:val>
            <c:numRef>
              <c:f>Sheet2!$F$102:$F$105</c:f>
              <c:numCache>
                <c:formatCode>General</c:formatCode>
                <c:ptCount val="4"/>
                <c:pt idx="0">
                  <c:v>9.91</c:v>
                </c:pt>
                <c:pt idx="1">
                  <c:v>9.0300000000000011</c:v>
                </c:pt>
                <c:pt idx="2">
                  <c:v>8.65</c:v>
                </c:pt>
                <c:pt idx="3">
                  <c:v>7.8</c:v>
                </c:pt>
              </c:numCache>
            </c:numRef>
          </c:val>
        </c:ser>
        <c:axId val="138577408"/>
        <c:axId val="138579328"/>
      </c:barChart>
      <c:catAx>
        <c:axId val="138577408"/>
        <c:scaling>
          <c:orientation val="minMax"/>
        </c:scaling>
        <c:axPos val="b"/>
        <c:title>
          <c:tx>
            <c:rich>
              <a:bodyPr/>
              <a:lstStyle/>
              <a:p>
                <a:pPr>
                  <a:defRPr/>
                </a:pPr>
                <a:r>
                  <a:rPr lang="en-US">
                    <a:latin typeface="Times New Roman" pitchFamily="18" charset="0"/>
                    <a:cs typeface="Times New Roman" pitchFamily="18" charset="0"/>
                  </a:rPr>
                  <a:t>Entreposage à +4°C en jours</a:t>
                </a:r>
              </a:p>
            </c:rich>
          </c:tx>
          <c:layout>
            <c:manualLayout>
              <c:xMode val="edge"/>
              <c:yMode val="edge"/>
              <c:x val="0.32696448297498376"/>
              <c:y val="0.91922953853875977"/>
            </c:manualLayout>
          </c:layout>
        </c:title>
        <c:numFmt formatCode="General" sourceLinked="1"/>
        <c:tickLblPos val="nextTo"/>
        <c:spPr>
          <a:ln>
            <a:solidFill>
              <a:sysClr val="windowText" lastClr="000000"/>
            </a:solidFill>
          </a:ln>
        </c:spPr>
        <c:txPr>
          <a:bodyPr rot="0" vert="horz"/>
          <a:lstStyle/>
          <a:p>
            <a:pPr>
              <a:defRPr b="1"/>
            </a:pPr>
            <a:endParaRPr lang="fr-FR"/>
          </a:p>
        </c:txPr>
        <c:crossAx val="138579328"/>
        <c:crosses val="autoZero"/>
        <c:auto val="1"/>
        <c:lblAlgn val="ctr"/>
        <c:lblOffset val="100"/>
      </c:catAx>
      <c:valAx>
        <c:axId val="138579328"/>
        <c:scaling>
          <c:orientation val="minMax"/>
          <c:max val="10.5"/>
          <c:min val="6"/>
        </c:scaling>
        <c:axPos val="l"/>
        <c:title>
          <c:tx>
            <c:rich>
              <a:bodyPr rot="-5400000" vert="horz"/>
              <a:lstStyle/>
              <a:p>
                <a:pPr>
                  <a:defRPr>
                    <a:latin typeface="Times New Roman" pitchFamily="18" charset="0"/>
                    <a:cs typeface="Times New Roman" pitchFamily="18" charset="0"/>
                  </a:defRPr>
                </a:pPr>
                <a:r>
                  <a:rPr lang="en-US">
                    <a:latin typeface="Times New Roman" pitchFamily="18" charset="0"/>
                    <a:cs typeface="Times New Roman" pitchFamily="18" charset="0"/>
                  </a:rPr>
                  <a:t>log UFC/ml</a:t>
                </a:r>
              </a:p>
            </c:rich>
          </c:tx>
          <c:layout/>
        </c:title>
        <c:numFmt formatCode="General" sourceLinked="1"/>
        <c:tickLblPos val="nextTo"/>
        <c:spPr>
          <a:ln>
            <a:solidFill>
              <a:sysClr val="windowText" lastClr="000000"/>
            </a:solidFill>
          </a:ln>
        </c:spPr>
        <c:txPr>
          <a:bodyPr rot="0" vert="horz"/>
          <a:lstStyle/>
          <a:p>
            <a:pPr>
              <a:defRPr b="1"/>
            </a:pPr>
            <a:endParaRPr lang="fr-FR"/>
          </a:p>
        </c:txPr>
        <c:crossAx val="138577408"/>
        <c:crosses val="autoZero"/>
        <c:crossBetween val="between"/>
        <c:majorUnit val="0.5"/>
      </c:valAx>
    </c:plotArea>
    <c:plotVisOnly val="1"/>
    <c:dispBlanksAs val="gap"/>
  </c:chart>
  <c:spPr>
    <a:ln>
      <a:solidFill>
        <a:schemeClr val="bg1"/>
      </a:solidFill>
    </a:ln>
  </c:spPr>
  <c:externalData r:id="rId1"/>
  <c:userShapes r:id="rId2"/>
</c:chartSpace>
</file>

<file path=word/charts/chart39.xml><?xml version="1.0" encoding="utf-8"?>
<c:chartSpace xmlns:c="http://schemas.openxmlformats.org/drawingml/2006/chart" xmlns:a="http://schemas.openxmlformats.org/drawingml/2006/main" xmlns:r="http://schemas.openxmlformats.org/officeDocument/2006/relationships">
  <c:date1904 val="1"/>
  <c:lang val="fr-FR"/>
  <c:style val="26"/>
  <c:chart>
    <c:title>
      <c:tx>
        <c:rich>
          <a:bodyPr/>
          <a:lstStyle/>
          <a:p>
            <a:pPr>
              <a:defRPr/>
            </a:pPr>
            <a:r>
              <a:rPr lang="fr-FR" b="0">
                <a:latin typeface="Times New Roman" pitchFamily="18" charset="0"/>
                <a:cs typeface="Times New Roman" pitchFamily="18" charset="0"/>
              </a:rPr>
              <a:t>E</a:t>
            </a:r>
          </a:p>
        </c:rich>
      </c:tx>
      <c:layout>
        <c:manualLayout>
          <c:xMode val="edge"/>
          <c:yMode val="edge"/>
          <c:x val="2.5790502422935003E-4"/>
          <c:y val="0"/>
        </c:manualLayout>
      </c:layout>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18697797269012373"/>
          <c:y val="0.15912731838752744"/>
          <c:w val="0.77187295504411979"/>
          <c:h val="0.65850698895195681"/>
        </c:manualLayout>
      </c:layout>
      <c:barChart>
        <c:barDir val="col"/>
        <c:grouping val="clustered"/>
        <c:ser>
          <c:idx val="0"/>
          <c:order val="0"/>
          <c:tx>
            <c:strRef>
              <c:f>Sheet2!$B$104</c:f>
              <c:strCache>
                <c:ptCount val="1"/>
                <c:pt idx="0">
                  <c:v>1 (Temoin)</c:v>
                </c:pt>
              </c:strCache>
            </c:strRef>
          </c:tx>
          <c:spPr>
            <a:solidFill>
              <a:srgbClr val="0070C0"/>
            </a:solidFill>
            <a:ln>
              <a:solidFill>
                <a:srgbClr val="0070C0"/>
              </a:solidFill>
            </a:ln>
          </c:spPr>
          <c:errBars>
            <c:errBarType val="both"/>
            <c:errValType val="cust"/>
            <c:plus>
              <c:numRef>
                <c:f>Sheet1!$I$45:$I$48</c:f>
                <c:numCache>
                  <c:formatCode>General</c:formatCode>
                  <c:ptCount val="4"/>
                  <c:pt idx="0">
                    <c:v>2.5000000000000001E-2</c:v>
                  </c:pt>
                  <c:pt idx="1">
                    <c:v>3.7999999999999999E-2</c:v>
                  </c:pt>
                  <c:pt idx="2">
                    <c:v>3.5999999999999997E-2</c:v>
                  </c:pt>
                  <c:pt idx="3">
                    <c:v>3.6999999999999998E-2</c:v>
                  </c:pt>
                </c:numCache>
              </c:numRef>
            </c:plus>
            <c:minus>
              <c:numRef>
                <c:f>Sheet1!$I$45:$I$48</c:f>
                <c:numCache>
                  <c:formatCode>General</c:formatCode>
                  <c:ptCount val="4"/>
                  <c:pt idx="0">
                    <c:v>2.5000000000000001E-2</c:v>
                  </c:pt>
                  <c:pt idx="1">
                    <c:v>3.7999999999999999E-2</c:v>
                  </c:pt>
                  <c:pt idx="2">
                    <c:v>3.5999999999999997E-2</c:v>
                  </c:pt>
                  <c:pt idx="3">
                    <c:v>3.6999999999999998E-2</c:v>
                  </c:pt>
                </c:numCache>
              </c:numRef>
            </c:minus>
          </c:errBars>
          <c:cat>
            <c:strRef>
              <c:f>Sheet2!$A$105:$A$108</c:f>
              <c:strCache>
                <c:ptCount val="4"/>
                <c:pt idx="0">
                  <c:v>7 j</c:v>
                </c:pt>
                <c:pt idx="1">
                  <c:v>14 j</c:v>
                </c:pt>
                <c:pt idx="2">
                  <c:v>21 j</c:v>
                </c:pt>
                <c:pt idx="3">
                  <c:v>28 j</c:v>
                </c:pt>
              </c:strCache>
            </c:strRef>
          </c:cat>
          <c:val>
            <c:numRef>
              <c:f>Sheet2!$B$105:$B$108</c:f>
              <c:numCache>
                <c:formatCode>General</c:formatCode>
                <c:ptCount val="4"/>
                <c:pt idx="0">
                  <c:v>7.78</c:v>
                </c:pt>
                <c:pt idx="1">
                  <c:v>7.08</c:v>
                </c:pt>
                <c:pt idx="2">
                  <c:v>6.49</c:v>
                </c:pt>
                <c:pt idx="3">
                  <c:v>5.78</c:v>
                </c:pt>
              </c:numCache>
            </c:numRef>
          </c:val>
        </c:ser>
        <c:ser>
          <c:idx val="1"/>
          <c:order val="1"/>
          <c:tx>
            <c:strRef>
              <c:f>Sheet2!$C$104</c:f>
              <c:strCache>
                <c:ptCount val="1"/>
                <c:pt idx="0">
                  <c:v>2 (Lactoserum)</c:v>
                </c:pt>
              </c:strCache>
            </c:strRef>
          </c:tx>
          <c:spPr>
            <a:solidFill>
              <a:srgbClr val="FF9900"/>
            </a:solidFill>
            <a:ln>
              <a:solidFill>
                <a:srgbClr val="FF9900"/>
              </a:solidFill>
            </a:ln>
          </c:spPr>
          <c:errBars>
            <c:errBarType val="both"/>
            <c:errValType val="cust"/>
            <c:plus>
              <c:numRef>
                <c:f>Sheet1!$J$45:$J$48</c:f>
                <c:numCache>
                  <c:formatCode>General</c:formatCode>
                  <c:ptCount val="4"/>
                  <c:pt idx="0">
                    <c:v>2.8000000000000001E-2</c:v>
                  </c:pt>
                  <c:pt idx="1">
                    <c:v>2.7000000000000159E-2</c:v>
                  </c:pt>
                  <c:pt idx="2">
                    <c:v>2.5999999999999999E-2</c:v>
                  </c:pt>
                  <c:pt idx="3">
                    <c:v>2.9000000000000001E-2</c:v>
                  </c:pt>
                </c:numCache>
              </c:numRef>
            </c:plus>
            <c:minus>
              <c:numRef>
                <c:f>Sheet1!$J$45:$J$48</c:f>
                <c:numCache>
                  <c:formatCode>General</c:formatCode>
                  <c:ptCount val="4"/>
                  <c:pt idx="0">
                    <c:v>2.8000000000000001E-2</c:v>
                  </c:pt>
                  <c:pt idx="1">
                    <c:v>2.7000000000000159E-2</c:v>
                  </c:pt>
                  <c:pt idx="2">
                    <c:v>2.5999999999999999E-2</c:v>
                  </c:pt>
                  <c:pt idx="3">
                    <c:v>2.9000000000000001E-2</c:v>
                  </c:pt>
                </c:numCache>
              </c:numRef>
            </c:minus>
          </c:errBars>
          <c:cat>
            <c:strRef>
              <c:f>Sheet2!$A$105:$A$108</c:f>
              <c:strCache>
                <c:ptCount val="4"/>
                <c:pt idx="0">
                  <c:v>7 j</c:v>
                </c:pt>
                <c:pt idx="1">
                  <c:v>14 j</c:v>
                </c:pt>
                <c:pt idx="2">
                  <c:v>21 j</c:v>
                </c:pt>
                <c:pt idx="3">
                  <c:v>28 j</c:v>
                </c:pt>
              </c:strCache>
            </c:strRef>
          </c:cat>
          <c:val>
            <c:numRef>
              <c:f>Sheet2!$C$105:$C$108</c:f>
              <c:numCache>
                <c:formatCode>General</c:formatCode>
                <c:ptCount val="4"/>
                <c:pt idx="0">
                  <c:v>9.3600000000000048</c:v>
                </c:pt>
                <c:pt idx="1">
                  <c:v>8.77</c:v>
                </c:pt>
                <c:pt idx="2">
                  <c:v>8.15</c:v>
                </c:pt>
                <c:pt idx="3">
                  <c:v>7.89</c:v>
                </c:pt>
              </c:numCache>
            </c:numRef>
          </c:val>
        </c:ser>
        <c:ser>
          <c:idx val="2"/>
          <c:order val="2"/>
          <c:tx>
            <c:strRef>
              <c:f>Sheet2!$D$104</c:f>
              <c:strCache>
                <c:ptCount val="1"/>
                <c:pt idx="0">
                  <c:v>3 (Promilk)</c:v>
                </c:pt>
              </c:strCache>
            </c:strRef>
          </c:tx>
          <c:spPr>
            <a:solidFill>
              <a:srgbClr val="92D050"/>
            </a:solidFill>
            <a:ln>
              <a:solidFill>
                <a:srgbClr val="92D050"/>
              </a:solidFill>
            </a:ln>
          </c:spPr>
          <c:errBars>
            <c:errBarType val="both"/>
            <c:errValType val="cust"/>
            <c:plus>
              <c:numRef>
                <c:f>Sheet1!$K$45:$K$48</c:f>
                <c:numCache>
                  <c:formatCode>General</c:formatCode>
                  <c:ptCount val="4"/>
                  <c:pt idx="0">
                    <c:v>4.7000000000000014E-2</c:v>
                  </c:pt>
                  <c:pt idx="1">
                    <c:v>3.0000000000000002E-2</c:v>
                  </c:pt>
                  <c:pt idx="2">
                    <c:v>2.3E-2</c:v>
                  </c:pt>
                  <c:pt idx="3">
                    <c:v>2.8000000000000001E-2</c:v>
                  </c:pt>
                </c:numCache>
              </c:numRef>
            </c:plus>
            <c:minus>
              <c:numRef>
                <c:f>Sheet1!$K$45:$K$48</c:f>
                <c:numCache>
                  <c:formatCode>General</c:formatCode>
                  <c:ptCount val="4"/>
                  <c:pt idx="0">
                    <c:v>4.7000000000000014E-2</c:v>
                  </c:pt>
                  <c:pt idx="1">
                    <c:v>3.0000000000000002E-2</c:v>
                  </c:pt>
                  <c:pt idx="2">
                    <c:v>2.3E-2</c:v>
                  </c:pt>
                  <c:pt idx="3">
                    <c:v>2.8000000000000001E-2</c:v>
                  </c:pt>
                </c:numCache>
              </c:numRef>
            </c:minus>
          </c:errBars>
          <c:cat>
            <c:strRef>
              <c:f>Sheet2!$A$105:$A$108</c:f>
              <c:strCache>
                <c:ptCount val="4"/>
                <c:pt idx="0">
                  <c:v>7 j</c:v>
                </c:pt>
                <c:pt idx="1">
                  <c:v>14 j</c:v>
                </c:pt>
                <c:pt idx="2">
                  <c:v>21 j</c:v>
                </c:pt>
                <c:pt idx="3">
                  <c:v>28 j</c:v>
                </c:pt>
              </c:strCache>
            </c:strRef>
          </c:cat>
          <c:val>
            <c:numRef>
              <c:f>Sheet2!$D$105:$D$108</c:f>
              <c:numCache>
                <c:formatCode>General</c:formatCode>
                <c:ptCount val="4"/>
                <c:pt idx="0">
                  <c:v>8</c:v>
                </c:pt>
                <c:pt idx="1">
                  <c:v>7.72</c:v>
                </c:pt>
                <c:pt idx="2">
                  <c:v>7.23</c:v>
                </c:pt>
                <c:pt idx="3">
                  <c:v>6.6499999999999995</c:v>
                </c:pt>
              </c:numCache>
            </c:numRef>
          </c:val>
        </c:ser>
        <c:ser>
          <c:idx val="3"/>
          <c:order val="3"/>
          <c:tx>
            <c:strRef>
              <c:f>Sheet2!$E$104</c:f>
              <c:strCache>
                <c:ptCount val="1"/>
                <c:pt idx="0">
                  <c:v>4 (H. Caseine)</c:v>
                </c:pt>
              </c:strCache>
            </c:strRef>
          </c:tx>
          <c:spPr>
            <a:solidFill>
              <a:srgbClr val="990099"/>
            </a:solidFill>
            <a:ln>
              <a:solidFill>
                <a:srgbClr val="990099"/>
              </a:solidFill>
            </a:ln>
          </c:spPr>
          <c:errBars>
            <c:errBarType val="both"/>
            <c:errValType val="cust"/>
            <c:plus>
              <c:numRef>
                <c:f>Sheet1!$L$45:$L$48</c:f>
                <c:numCache>
                  <c:formatCode>General</c:formatCode>
                  <c:ptCount val="4"/>
                  <c:pt idx="0">
                    <c:v>2.9000000000000001E-2</c:v>
                  </c:pt>
                  <c:pt idx="1">
                    <c:v>4.3000000000000003E-2</c:v>
                  </c:pt>
                  <c:pt idx="2">
                    <c:v>4.7000000000000014E-2</c:v>
                  </c:pt>
                  <c:pt idx="3">
                    <c:v>5.1000000000000004E-2</c:v>
                  </c:pt>
                </c:numCache>
              </c:numRef>
            </c:plus>
            <c:minus>
              <c:numRef>
                <c:f>Sheet1!$L$45:$L$48</c:f>
                <c:numCache>
                  <c:formatCode>General</c:formatCode>
                  <c:ptCount val="4"/>
                  <c:pt idx="0">
                    <c:v>2.9000000000000001E-2</c:v>
                  </c:pt>
                  <c:pt idx="1">
                    <c:v>4.3000000000000003E-2</c:v>
                  </c:pt>
                  <c:pt idx="2">
                    <c:v>4.7000000000000014E-2</c:v>
                  </c:pt>
                  <c:pt idx="3">
                    <c:v>5.1000000000000004E-2</c:v>
                  </c:pt>
                </c:numCache>
              </c:numRef>
            </c:minus>
          </c:errBars>
          <c:cat>
            <c:strRef>
              <c:f>Sheet2!$A$105:$A$108</c:f>
              <c:strCache>
                <c:ptCount val="4"/>
                <c:pt idx="0">
                  <c:v>7 j</c:v>
                </c:pt>
                <c:pt idx="1">
                  <c:v>14 j</c:v>
                </c:pt>
                <c:pt idx="2">
                  <c:v>21 j</c:v>
                </c:pt>
                <c:pt idx="3">
                  <c:v>28 j</c:v>
                </c:pt>
              </c:strCache>
            </c:strRef>
          </c:cat>
          <c:val>
            <c:numRef>
              <c:f>Sheet2!$E$105:$E$108</c:f>
              <c:numCache>
                <c:formatCode>General</c:formatCode>
                <c:ptCount val="4"/>
                <c:pt idx="0">
                  <c:v>8.25</c:v>
                </c:pt>
                <c:pt idx="1">
                  <c:v>7.6599999999999975</c:v>
                </c:pt>
                <c:pt idx="2">
                  <c:v>7.1</c:v>
                </c:pt>
                <c:pt idx="3">
                  <c:v>6.85</c:v>
                </c:pt>
              </c:numCache>
            </c:numRef>
          </c:val>
        </c:ser>
        <c:ser>
          <c:idx val="4"/>
          <c:order val="4"/>
          <c:tx>
            <c:strRef>
              <c:f>Sheet2!$F$104</c:f>
              <c:strCache>
                <c:ptCount val="1"/>
                <c:pt idx="0">
                  <c:v>5 (H. Proteine)</c:v>
                </c:pt>
              </c:strCache>
            </c:strRef>
          </c:tx>
          <c:spPr>
            <a:solidFill>
              <a:srgbClr val="FF33CC"/>
            </a:solidFill>
            <a:ln>
              <a:solidFill>
                <a:srgbClr val="FF33CC"/>
              </a:solidFill>
            </a:ln>
          </c:spPr>
          <c:errBars>
            <c:errBarType val="both"/>
            <c:errValType val="cust"/>
            <c:plus>
              <c:numRef>
                <c:f>Sheet1!$M$45:$M$48</c:f>
                <c:numCache>
                  <c:formatCode>General</c:formatCode>
                  <c:ptCount val="4"/>
                  <c:pt idx="0">
                    <c:v>3.0000000000000002E-2</c:v>
                  </c:pt>
                  <c:pt idx="1">
                    <c:v>2.9000000000000001E-2</c:v>
                  </c:pt>
                  <c:pt idx="2">
                    <c:v>3.6999999999999998E-2</c:v>
                  </c:pt>
                  <c:pt idx="3">
                    <c:v>3.6999999999999998E-2</c:v>
                  </c:pt>
                </c:numCache>
              </c:numRef>
            </c:plus>
            <c:minus>
              <c:numRef>
                <c:f>Sheet1!$M$45:$M$48</c:f>
                <c:numCache>
                  <c:formatCode>General</c:formatCode>
                  <c:ptCount val="4"/>
                  <c:pt idx="0">
                    <c:v>3.0000000000000002E-2</c:v>
                  </c:pt>
                  <c:pt idx="1">
                    <c:v>2.9000000000000001E-2</c:v>
                  </c:pt>
                  <c:pt idx="2">
                    <c:v>3.6999999999999998E-2</c:v>
                  </c:pt>
                  <c:pt idx="3">
                    <c:v>3.6999999999999998E-2</c:v>
                  </c:pt>
                </c:numCache>
              </c:numRef>
            </c:minus>
          </c:errBars>
          <c:cat>
            <c:strRef>
              <c:f>Sheet2!$A$105:$A$108</c:f>
              <c:strCache>
                <c:ptCount val="4"/>
                <c:pt idx="0">
                  <c:v>7 j</c:v>
                </c:pt>
                <c:pt idx="1">
                  <c:v>14 j</c:v>
                </c:pt>
                <c:pt idx="2">
                  <c:v>21 j</c:v>
                </c:pt>
                <c:pt idx="3">
                  <c:v>28 j</c:v>
                </c:pt>
              </c:strCache>
            </c:strRef>
          </c:cat>
          <c:val>
            <c:numRef>
              <c:f>Sheet2!$F$105:$F$108</c:f>
              <c:numCache>
                <c:formatCode>General</c:formatCode>
                <c:ptCount val="4"/>
                <c:pt idx="0">
                  <c:v>8.8000000000000007</c:v>
                </c:pt>
                <c:pt idx="1">
                  <c:v>8.16</c:v>
                </c:pt>
                <c:pt idx="2">
                  <c:v>7.88</c:v>
                </c:pt>
                <c:pt idx="3">
                  <c:v>7.51</c:v>
                </c:pt>
              </c:numCache>
            </c:numRef>
          </c:val>
        </c:ser>
        <c:axId val="50434432"/>
        <c:axId val="50436352"/>
      </c:barChart>
      <c:catAx>
        <c:axId val="50434432"/>
        <c:scaling>
          <c:orientation val="minMax"/>
        </c:scaling>
        <c:axPos val="b"/>
        <c:title>
          <c:tx>
            <c:rich>
              <a:bodyPr/>
              <a:lstStyle/>
              <a:p>
                <a:pPr>
                  <a:defRPr/>
                </a:pPr>
                <a:r>
                  <a:rPr lang="en-US">
                    <a:latin typeface="Times New Roman" pitchFamily="18" charset="0"/>
                    <a:cs typeface="Times New Roman" pitchFamily="18" charset="0"/>
                  </a:rPr>
                  <a:t>Entreposage à +4°C en jours</a:t>
                </a:r>
              </a:p>
            </c:rich>
          </c:tx>
          <c:layout>
            <c:manualLayout>
              <c:xMode val="edge"/>
              <c:yMode val="edge"/>
              <c:x val="0.25293730688727201"/>
              <c:y val="0.93127859017622749"/>
            </c:manualLayout>
          </c:layout>
        </c:title>
        <c:numFmt formatCode="General" sourceLinked="1"/>
        <c:tickLblPos val="nextTo"/>
        <c:spPr>
          <a:ln>
            <a:solidFill>
              <a:sysClr val="windowText" lastClr="000000"/>
            </a:solidFill>
          </a:ln>
        </c:spPr>
        <c:txPr>
          <a:bodyPr/>
          <a:lstStyle/>
          <a:p>
            <a:pPr>
              <a:defRPr b="1"/>
            </a:pPr>
            <a:endParaRPr lang="fr-FR"/>
          </a:p>
        </c:txPr>
        <c:crossAx val="50436352"/>
        <c:crosses val="autoZero"/>
        <c:auto val="1"/>
        <c:lblAlgn val="ctr"/>
        <c:lblOffset val="100"/>
      </c:catAx>
      <c:valAx>
        <c:axId val="50436352"/>
        <c:scaling>
          <c:orientation val="minMax"/>
          <c:max val="9.5"/>
          <c:min val="5"/>
        </c:scaling>
        <c:axPos val="l"/>
        <c:title>
          <c:tx>
            <c:rich>
              <a:bodyPr rot="-5400000" vert="horz"/>
              <a:lstStyle/>
              <a:p>
                <a:pPr>
                  <a:defRPr/>
                </a:pPr>
                <a:r>
                  <a:rPr lang="en-US">
                    <a:latin typeface="Times New Roman" pitchFamily="18" charset="0"/>
                    <a:cs typeface="Times New Roman" pitchFamily="18" charset="0"/>
                  </a:rPr>
                  <a:t>log UFC/ml</a:t>
                </a:r>
              </a:p>
            </c:rich>
          </c:tx>
          <c:layout/>
        </c:title>
        <c:numFmt formatCode="General" sourceLinked="1"/>
        <c:tickLblPos val="nextTo"/>
        <c:spPr>
          <a:ln>
            <a:solidFill>
              <a:sysClr val="windowText" lastClr="000000"/>
            </a:solidFill>
          </a:ln>
        </c:spPr>
        <c:txPr>
          <a:bodyPr/>
          <a:lstStyle/>
          <a:p>
            <a:pPr>
              <a:defRPr b="1"/>
            </a:pPr>
            <a:endParaRPr lang="fr-FR"/>
          </a:p>
        </c:txPr>
        <c:crossAx val="50434432"/>
        <c:crosses val="autoZero"/>
        <c:crossBetween val="between"/>
        <c:majorUnit val="0.5"/>
      </c:valAx>
    </c:plotArea>
    <c:plotVisOnly val="1"/>
    <c:dispBlanksAs val="gap"/>
  </c:chart>
  <c:spPr>
    <a:ln>
      <a:solidFill>
        <a:schemeClr val="bg1"/>
      </a:solidFill>
    </a:ln>
  </c:spPr>
  <c:externalData r:id="rId1"/>
  <c:userShapes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a:pPr>
            <a:r>
              <a:rPr lang="fr-FR"/>
              <a:t>A</a:t>
            </a:r>
          </a:p>
        </c:rich>
      </c:tx>
      <c:layout>
        <c:manualLayout>
          <c:xMode val="edge"/>
          <c:yMode val="edge"/>
          <c:x val="6.3351396664771418E-4"/>
          <c:y val="0"/>
        </c:manualLayout>
      </c:layout>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23606299212598444"/>
          <c:y val="8.3354000545519474E-2"/>
          <c:w val="0.67807716820502173"/>
          <c:h val="0.7259470541725328"/>
        </c:manualLayout>
      </c:layout>
      <c:lineChart>
        <c:grouping val="standard"/>
        <c:ser>
          <c:idx val="0"/>
          <c:order val="0"/>
          <c:tx>
            <c:strRef>
              <c:f>Sheet1!$B$20</c:f>
              <c:strCache>
                <c:ptCount val="1"/>
                <c:pt idx="0">
                  <c:v>1 (Temoin)</c:v>
                </c:pt>
              </c:strCache>
            </c:strRef>
          </c:tx>
          <c:spPr>
            <a:ln w="12700"/>
          </c:spPr>
          <c:errBars>
            <c:errDir val="y"/>
            <c:errBarType val="both"/>
            <c:errValType val="cust"/>
            <c:plus>
              <c:numRef>
                <c:f>Sheet1!$I$21:$M$21</c:f>
                <c:numCache>
                  <c:formatCode>General</c:formatCode>
                  <c:ptCount val="5"/>
                  <c:pt idx="0">
                    <c:v>2.5999999999999999E-2</c:v>
                  </c:pt>
                  <c:pt idx="1">
                    <c:v>3.1000000000000052E-2</c:v>
                  </c:pt>
                  <c:pt idx="2">
                    <c:v>2.5999999999999999E-2</c:v>
                  </c:pt>
                  <c:pt idx="3">
                    <c:v>2.3E-2</c:v>
                  </c:pt>
                  <c:pt idx="4">
                    <c:v>1.7999999999999999E-2</c:v>
                  </c:pt>
                </c:numCache>
              </c:numRef>
            </c:plus>
            <c:minus>
              <c:numRef>
                <c:f>Sheet1!$I$21:$M$21</c:f>
                <c:numCache>
                  <c:formatCode>General</c:formatCode>
                  <c:ptCount val="5"/>
                  <c:pt idx="0">
                    <c:v>2.5999999999999999E-2</c:v>
                  </c:pt>
                  <c:pt idx="1">
                    <c:v>3.1000000000000052E-2</c:v>
                  </c:pt>
                  <c:pt idx="2">
                    <c:v>2.5999999999999999E-2</c:v>
                  </c:pt>
                  <c:pt idx="3">
                    <c:v>2.3E-2</c:v>
                  </c:pt>
                  <c:pt idx="4">
                    <c:v>1.7999999999999999E-2</c:v>
                  </c:pt>
                </c:numCache>
              </c:numRef>
            </c:minus>
          </c:errBars>
          <c:cat>
            <c:strRef>
              <c:f>Sheet1!$A$21:$A$24</c:f>
              <c:strCache>
                <c:ptCount val="4"/>
                <c:pt idx="0">
                  <c:v>T0</c:v>
                </c:pt>
                <c:pt idx="1">
                  <c:v>T1</c:v>
                </c:pt>
                <c:pt idx="2">
                  <c:v>T2</c:v>
                </c:pt>
                <c:pt idx="3">
                  <c:v>T3</c:v>
                </c:pt>
              </c:strCache>
            </c:strRef>
          </c:cat>
          <c:val>
            <c:numRef>
              <c:f>Sheet1!$B$21:$B$24</c:f>
              <c:numCache>
                <c:formatCode>General</c:formatCode>
                <c:ptCount val="4"/>
                <c:pt idx="0">
                  <c:v>6.99</c:v>
                </c:pt>
                <c:pt idx="1">
                  <c:v>8</c:v>
                </c:pt>
                <c:pt idx="2">
                  <c:v>8.3700000000000028</c:v>
                </c:pt>
                <c:pt idx="3">
                  <c:v>8.8500000000000068</c:v>
                </c:pt>
              </c:numCache>
            </c:numRef>
          </c:val>
        </c:ser>
        <c:ser>
          <c:idx val="1"/>
          <c:order val="1"/>
          <c:tx>
            <c:strRef>
              <c:f>Sheet1!$C$20</c:f>
              <c:strCache>
                <c:ptCount val="1"/>
                <c:pt idx="0">
                  <c:v>2 (Lactoserum)</c:v>
                </c:pt>
              </c:strCache>
            </c:strRef>
          </c:tx>
          <c:spPr>
            <a:ln w="12700">
              <a:solidFill>
                <a:srgbClr val="FF9900"/>
              </a:solidFill>
            </a:ln>
          </c:spPr>
          <c:marker>
            <c:spPr>
              <a:solidFill>
                <a:srgbClr val="FF9900"/>
              </a:solidFill>
              <a:ln>
                <a:solidFill>
                  <a:srgbClr val="FF9900"/>
                </a:solidFill>
              </a:ln>
            </c:spPr>
          </c:marker>
          <c:errBars>
            <c:errDir val="y"/>
            <c:errBarType val="both"/>
            <c:errValType val="cust"/>
            <c:plus>
              <c:numRef>
                <c:f>Sheet1!$I$22:$M$22</c:f>
                <c:numCache>
                  <c:formatCode>General</c:formatCode>
                  <c:ptCount val="5"/>
                  <c:pt idx="0">
                    <c:v>3.1000000000000052E-2</c:v>
                  </c:pt>
                  <c:pt idx="1">
                    <c:v>2.9000000000000001E-2</c:v>
                  </c:pt>
                  <c:pt idx="2">
                    <c:v>2.3E-2</c:v>
                  </c:pt>
                  <c:pt idx="3">
                    <c:v>3.500000000000001E-2</c:v>
                  </c:pt>
                  <c:pt idx="4">
                    <c:v>3.7999999999999999E-2</c:v>
                  </c:pt>
                </c:numCache>
              </c:numRef>
            </c:plus>
            <c:minus>
              <c:numRef>
                <c:f>Sheet1!$I$22:$M$22</c:f>
                <c:numCache>
                  <c:formatCode>General</c:formatCode>
                  <c:ptCount val="5"/>
                  <c:pt idx="0">
                    <c:v>3.1000000000000052E-2</c:v>
                  </c:pt>
                  <c:pt idx="1">
                    <c:v>2.9000000000000001E-2</c:v>
                  </c:pt>
                  <c:pt idx="2">
                    <c:v>2.3E-2</c:v>
                  </c:pt>
                  <c:pt idx="3">
                    <c:v>3.500000000000001E-2</c:v>
                  </c:pt>
                  <c:pt idx="4">
                    <c:v>3.7999999999999999E-2</c:v>
                  </c:pt>
                </c:numCache>
              </c:numRef>
            </c:minus>
          </c:errBars>
          <c:cat>
            <c:strRef>
              <c:f>Sheet1!$A$21:$A$24</c:f>
              <c:strCache>
                <c:ptCount val="4"/>
                <c:pt idx="0">
                  <c:v>T0</c:v>
                </c:pt>
                <c:pt idx="1">
                  <c:v>T1</c:v>
                </c:pt>
                <c:pt idx="2">
                  <c:v>T2</c:v>
                </c:pt>
                <c:pt idx="3">
                  <c:v>T3</c:v>
                </c:pt>
              </c:strCache>
            </c:strRef>
          </c:cat>
          <c:val>
            <c:numRef>
              <c:f>Sheet1!$C$21:$C$24</c:f>
              <c:numCache>
                <c:formatCode>General</c:formatCode>
                <c:ptCount val="4"/>
                <c:pt idx="0">
                  <c:v>6.99</c:v>
                </c:pt>
                <c:pt idx="1">
                  <c:v>8.16</c:v>
                </c:pt>
                <c:pt idx="2">
                  <c:v>9.33</c:v>
                </c:pt>
                <c:pt idx="3">
                  <c:v>10.239999999999998</c:v>
                </c:pt>
              </c:numCache>
            </c:numRef>
          </c:val>
        </c:ser>
        <c:ser>
          <c:idx val="2"/>
          <c:order val="2"/>
          <c:tx>
            <c:strRef>
              <c:f>Sheet1!$D$20</c:f>
              <c:strCache>
                <c:ptCount val="1"/>
                <c:pt idx="0">
                  <c:v>3 (Promilk)</c:v>
                </c:pt>
              </c:strCache>
            </c:strRef>
          </c:tx>
          <c:spPr>
            <a:ln w="12700">
              <a:solidFill>
                <a:srgbClr val="92D050"/>
              </a:solidFill>
            </a:ln>
          </c:spPr>
          <c:marker>
            <c:spPr>
              <a:solidFill>
                <a:srgbClr val="92D050"/>
              </a:solidFill>
              <a:ln>
                <a:solidFill>
                  <a:srgbClr val="92D050"/>
                </a:solidFill>
              </a:ln>
            </c:spPr>
          </c:marker>
          <c:errBars>
            <c:errDir val="y"/>
            <c:errBarType val="both"/>
            <c:errValType val="cust"/>
            <c:plus>
              <c:numRef>
                <c:f>Sheet1!$I$23:$M$23</c:f>
                <c:numCache>
                  <c:formatCode>General</c:formatCode>
                  <c:ptCount val="5"/>
                  <c:pt idx="0">
                    <c:v>2.3E-2</c:v>
                  </c:pt>
                  <c:pt idx="1">
                    <c:v>2.3E-2</c:v>
                  </c:pt>
                  <c:pt idx="2">
                    <c:v>5.3000000000000012E-2</c:v>
                  </c:pt>
                  <c:pt idx="3">
                    <c:v>3.2000000000000042E-2</c:v>
                  </c:pt>
                  <c:pt idx="4">
                    <c:v>2.4E-2</c:v>
                  </c:pt>
                </c:numCache>
              </c:numRef>
            </c:plus>
            <c:minus>
              <c:numRef>
                <c:f>Sheet1!$I$23:$M$23</c:f>
                <c:numCache>
                  <c:formatCode>General</c:formatCode>
                  <c:ptCount val="5"/>
                  <c:pt idx="0">
                    <c:v>2.3E-2</c:v>
                  </c:pt>
                  <c:pt idx="1">
                    <c:v>2.3E-2</c:v>
                  </c:pt>
                  <c:pt idx="2">
                    <c:v>5.3000000000000012E-2</c:v>
                  </c:pt>
                  <c:pt idx="3">
                    <c:v>3.2000000000000042E-2</c:v>
                  </c:pt>
                  <c:pt idx="4">
                    <c:v>2.4E-2</c:v>
                  </c:pt>
                </c:numCache>
              </c:numRef>
            </c:minus>
          </c:errBars>
          <c:cat>
            <c:strRef>
              <c:f>Sheet1!$A$21:$A$24</c:f>
              <c:strCache>
                <c:ptCount val="4"/>
                <c:pt idx="0">
                  <c:v>T0</c:v>
                </c:pt>
                <c:pt idx="1">
                  <c:v>T1</c:v>
                </c:pt>
                <c:pt idx="2">
                  <c:v>T2</c:v>
                </c:pt>
                <c:pt idx="3">
                  <c:v>T3</c:v>
                </c:pt>
              </c:strCache>
            </c:strRef>
          </c:cat>
          <c:val>
            <c:numRef>
              <c:f>Sheet1!$D$21:$D$24</c:f>
              <c:numCache>
                <c:formatCode>General</c:formatCode>
                <c:ptCount val="4"/>
                <c:pt idx="0">
                  <c:v>6.99</c:v>
                </c:pt>
                <c:pt idx="1">
                  <c:v>8.0500000000000007</c:v>
                </c:pt>
                <c:pt idx="2">
                  <c:v>8.57</c:v>
                </c:pt>
                <c:pt idx="3">
                  <c:v>9.18</c:v>
                </c:pt>
              </c:numCache>
            </c:numRef>
          </c:val>
        </c:ser>
        <c:ser>
          <c:idx val="3"/>
          <c:order val="3"/>
          <c:tx>
            <c:strRef>
              <c:f>Sheet1!$E$20</c:f>
              <c:strCache>
                <c:ptCount val="1"/>
                <c:pt idx="0">
                  <c:v>4 (H. Caseine)</c:v>
                </c:pt>
              </c:strCache>
            </c:strRef>
          </c:tx>
          <c:spPr>
            <a:ln w="12700">
              <a:solidFill>
                <a:srgbClr val="990099"/>
              </a:solidFill>
            </a:ln>
          </c:spPr>
          <c:marker>
            <c:spPr>
              <a:solidFill>
                <a:srgbClr val="990099"/>
              </a:solidFill>
              <a:ln>
                <a:solidFill>
                  <a:srgbClr val="990099"/>
                </a:solidFill>
              </a:ln>
            </c:spPr>
          </c:marker>
          <c:errBars>
            <c:errDir val="y"/>
            <c:errBarType val="both"/>
            <c:errValType val="cust"/>
            <c:plus>
              <c:numRef>
                <c:f>Sheet1!$I$24:$M$24</c:f>
                <c:numCache>
                  <c:formatCode>General</c:formatCode>
                  <c:ptCount val="5"/>
                  <c:pt idx="0">
                    <c:v>4.3999999999999997E-2</c:v>
                  </c:pt>
                  <c:pt idx="1">
                    <c:v>2.5999999999999999E-2</c:v>
                  </c:pt>
                  <c:pt idx="2">
                    <c:v>4.5000000000000012E-2</c:v>
                  </c:pt>
                  <c:pt idx="3">
                    <c:v>5.1999999999999998E-2</c:v>
                  </c:pt>
                  <c:pt idx="4">
                    <c:v>3.9000000000000014E-2</c:v>
                  </c:pt>
                </c:numCache>
              </c:numRef>
            </c:plus>
            <c:minus>
              <c:numRef>
                <c:f>Sheet1!$I$24:$M$24</c:f>
                <c:numCache>
                  <c:formatCode>General</c:formatCode>
                  <c:ptCount val="5"/>
                  <c:pt idx="0">
                    <c:v>4.3999999999999997E-2</c:v>
                  </c:pt>
                  <c:pt idx="1">
                    <c:v>2.5999999999999999E-2</c:v>
                  </c:pt>
                  <c:pt idx="2">
                    <c:v>4.5000000000000012E-2</c:v>
                  </c:pt>
                  <c:pt idx="3">
                    <c:v>5.1999999999999998E-2</c:v>
                  </c:pt>
                  <c:pt idx="4">
                    <c:v>3.9000000000000014E-2</c:v>
                  </c:pt>
                </c:numCache>
              </c:numRef>
            </c:minus>
          </c:errBars>
          <c:cat>
            <c:strRef>
              <c:f>Sheet1!$A$21:$A$24</c:f>
              <c:strCache>
                <c:ptCount val="4"/>
                <c:pt idx="0">
                  <c:v>T0</c:v>
                </c:pt>
                <c:pt idx="1">
                  <c:v>T1</c:v>
                </c:pt>
                <c:pt idx="2">
                  <c:v>T2</c:v>
                </c:pt>
                <c:pt idx="3">
                  <c:v>T3</c:v>
                </c:pt>
              </c:strCache>
            </c:strRef>
          </c:cat>
          <c:val>
            <c:numRef>
              <c:f>Sheet1!$E$21:$E$24</c:f>
              <c:numCache>
                <c:formatCode>General</c:formatCode>
                <c:ptCount val="4"/>
                <c:pt idx="0">
                  <c:v>6.9700000000000024</c:v>
                </c:pt>
                <c:pt idx="1">
                  <c:v>8.09</c:v>
                </c:pt>
                <c:pt idx="2">
                  <c:v>8.92</c:v>
                </c:pt>
                <c:pt idx="3">
                  <c:v>9.9</c:v>
                </c:pt>
              </c:numCache>
            </c:numRef>
          </c:val>
        </c:ser>
        <c:ser>
          <c:idx val="4"/>
          <c:order val="4"/>
          <c:tx>
            <c:strRef>
              <c:f>Sheet1!$F$20</c:f>
              <c:strCache>
                <c:ptCount val="1"/>
                <c:pt idx="0">
                  <c:v>5 (H. Proteine)</c:v>
                </c:pt>
              </c:strCache>
            </c:strRef>
          </c:tx>
          <c:spPr>
            <a:ln w="12700">
              <a:solidFill>
                <a:srgbClr val="FF33CC"/>
              </a:solidFill>
            </a:ln>
          </c:spPr>
          <c:marker>
            <c:symbol val="circle"/>
            <c:size val="4"/>
            <c:spPr>
              <a:solidFill>
                <a:srgbClr val="FF33CC"/>
              </a:solidFill>
              <a:ln>
                <a:solidFill>
                  <a:srgbClr val="FF33CC"/>
                </a:solidFill>
              </a:ln>
            </c:spPr>
          </c:marker>
          <c:errBars>
            <c:errDir val="y"/>
            <c:errBarType val="both"/>
            <c:errValType val="cust"/>
            <c:plus>
              <c:numRef>
                <c:f>Sheet2!$M$44:$M$47</c:f>
                <c:numCache>
                  <c:formatCode>General</c:formatCode>
                  <c:ptCount val="4"/>
                  <c:pt idx="0">
                    <c:v>1.7999999999999999E-2</c:v>
                  </c:pt>
                  <c:pt idx="1">
                    <c:v>3.7999999999999999E-2</c:v>
                  </c:pt>
                  <c:pt idx="2">
                    <c:v>2.4E-2</c:v>
                  </c:pt>
                  <c:pt idx="3">
                    <c:v>3.9000000000000014E-2</c:v>
                  </c:pt>
                </c:numCache>
              </c:numRef>
            </c:plus>
            <c:minus>
              <c:numRef>
                <c:f>Sheet2!$M$44:$M$47</c:f>
                <c:numCache>
                  <c:formatCode>General</c:formatCode>
                  <c:ptCount val="4"/>
                  <c:pt idx="0">
                    <c:v>1.7999999999999999E-2</c:v>
                  </c:pt>
                  <c:pt idx="1">
                    <c:v>3.7999999999999999E-2</c:v>
                  </c:pt>
                  <c:pt idx="2">
                    <c:v>2.4E-2</c:v>
                  </c:pt>
                  <c:pt idx="3">
                    <c:v>3.9000000000000014E-2</c:v>
                  </c:pt>
                </c:numCache>
              </c:numRef>
            </c:minus>
            <c:spPr>
              <a:ln w="3175">
                <a:solidFill>
                  <a:srgbClr val="000000"/>
                </a:solidFill>
                <a:prstDash val="solid"/>
              </a:ln>
            </c:spPr>
          </c:errBars>
          <c:cat>
            <c:strRef>
              <c:f>Sheet1!$A$21:$A$24</c:f>
              <c:strCache>
                <c:ptCount val="4"/>
                <c:pt idx="0">
                  <c:v>T0</c:v>
                </c:pt>
                <c:pt idx="1">
                  <c:v>T1</c:v>
                </c:pt>
                <c:pt idx="2">
                  <c:v>T2</c:v>
                </c:pt>
                <c:pt idx="3">
                  <c:v>T3</c:v>
                </c:pt>
              </c:strCache>
            </c:strRef>
          </c:cat>
          <c:val>
            <c:numRef>
              <c:f>Sheet1!$F$21:$F$24</c:f>
              <c:numCache>
                <c:formatCode>General</c:formatCode>
                <c:ptCount val="4"/>
                <c:pt idx="0">
                  <c:v>6.96</c:v>
                </c:pt>
                <c:pt idx="1">
                  <c:v>8.2399999999999984</c:v>
                </c:pt>
                <c:pt idx="2">
                  <c:v>9.18</c:v>
                </c:pt>
                <c:pt idx="3">
                  <c:v>10.28</c:v>
                </c:pt>
              </c:numCache>
            </c:numRef>
          </c:val>
        </c:ser>
        <c:marker val="1"/>
        <c:axId val="54487680"/>
        <c:axId val="54502144"/>
      </c:lineChart>
      <c:catAx>
        <c:axId val="54487680"/>
        <c:scaling>
          <c:orientation val="minMax"/>
        </c:scaling>
        <c:axPos val="b"/>
        <c:title>
          <c:tx>
            <c:rich>
              <a:bodyPr/>
              <a:lstStyle/>
              <a:p>
                <a:pPr>
                  <a:defRPr/>
                </a:pPr>
                <a:r>
                  <a:rPr lang="en-US"/>
                  <a:t>Temps (h)</a:t>
                </a:r>
              </a:p>
            </c:rich>
          </c:tx>
          <c:layout>
            <c:manualLayout>
              <c:xMode val="edge"/>
              <c:yMode val="edge"/>
              <c:x val="0.48080636308294378"/>
              <c:y val="0.91407407407407593"/>
            </c:manualLayout>
          </c:layout>
        </c:title>
        <c:numFmt formatCode="General" sourceLinked="1"/>
        <c:tickLblPos val="nextTo"/>
        <c:spPr>
          <a:ln w="9525">
            <a:solidFill>
              <a:schemeClr val="tx1"/>
            </a:solidFill>
          </a:ln>
        </c:spPr>
        <c:txPr>
          <a:bodyPr/>
          <a:lstStyle/>
          <a:p>
            <a:pPr>
              <a:defRPr b="1" i="0" baseline="0"/>
            </a:pPr>
            <a:endParaRPr lang="fr-FR"/>
          </a:p>
        </c:txPr>
        <c:crossAx val="54502144"/>
        <c:crosses val="autoZero"/>
        <c:auto val="1"/>
        <c:lblAlgn val="ctr"/>
        <c:lblOffset val="100"/>
      </c:catAx>
      <c:valAx>
        <c:axId val="54502144"/>
        <c:scaling>
          <c:orientation val="minMax"/>
          <c:max val="11"/>
          <c:min val="6"/>
        </c:scaling>
        <c:axPos val="l"/>
        <c:title>
          <c:tx>
            <c:rich>
              <a:bodyPr rot="-5400000" vert="horz"/>
              <a:lstStyle/>
              <a:p>
                <a:pPr>
                  <a:defRPr/>
                </a:pPr>
                <a:r>
                  <a:rPr lang="en-US"/>
                  <a:t>log UFC/ml</a:t>
                </a:r>
              </a:p>
            </c:rich>
          </c:tx>
          <c:layout/>
        </c:title>
        <c:numFmt formatCode="General" sourceLinked="1"/>
        <c:tickLblPos val="nextTo"/>
        <c:spPr>
          <a:ln w="9525">
            <a:solidFill>
              <a:sysClr val="windowText" lastClr="000000"/>
            </a:solidFill>
          </a:ln>
        </c:spPr>
        <c:txPr>
          <a:bodyPr/>
          <a:lstStyle/>
          <a:p>
            <a:pPr>
              <a:defRPr b="1" i="0" baseline="0"/>
            </a:pPr>
            <a:endParaRPr lang="fr-FR"/>
          </a:p>
        </c:txPr>
        <c:crossAx val="54487680"/>
        <c:crosses val="autoZero"/>
        <c:crossBetween val="midCat"/>
        <c:majorUnit val="0.5"/>
      </c:valAx>
    </c:plotArea>
    <c:plotVisOnly val="1"/>
    <c:dispBlanksAs val="gap"/>
  </c:chart>
  <c:spPr>
    <a:ln>
      <a:solidFill>
        <a:schemeClr val="bg1"/>
      </a:solidFill>
    </a:ln>
  </c:spPr>
  <c:txPr>
    <a:bodyPr/>
    <a:lstStyle/>
    <a:p>
      <a:pPr>
        <a:defRPr>
          <a:latin typeface="Times New Roman" pitchFamily="18" charset="0"/>
          <a:cs typeface="Times New Roman" pitchFamily="18" charset="0"/>
        </a:defRPr>
      </a:pPr>
      <a:endParaRPr lang="fr-FR"/>
    </a:p>
  </c:txPr>
  <c:externalData r:id="rId1"/>
  <c:userShapes r:id="rId2"/>
</c:chartSpace>
</file>

<file path=word/charts/chart40.xml><?xml version="1.0" encoding="utf-8"?>
<c:chartSpace xmlns:c="http://schemas.openxmlformats.org/drawingml/2006/chart" xmlns:a="http://schemas.openxmlformats.org/drawingml/2006/main" xmlns:r="http://schemas.openxmlformats.org/officeDocument/2006/relationships">
  <c:date1904 val="1"/>
  <c:lang val="fr-FR"/>
  <c:style val="26"/>
  <c:chart>
    <c:title>
      <c:tx>
        <c:rich>
          <a:bodyPr/>
          <a:lstStyle/>
          <a:p>
            <a:pPr>
              <a:defRPr/>
            </a:pPr>
            <a:r>
              <a:rPr lang="fr-FR" b="0">
                <a:latin typeface="Times New Roman" pitchFamily="18" charset="0"/>
                <a:cs typeface="Times New Roman" pitchFamily="18" charset="0"/>
              </a:rPr>
              <a:t>C</a:t>
            </a:r>
          </a:p>
        </c:rich>
      </c:tx>
      <c:layout>
        <c:manualLayout>
          <c:xMode val="edge"/>
          <c:yMode val="edge"/>
          <c:x val="2.9444552646467012E-3"/>
          <c:y val="0"/>
        </c:manualLayout>
      </c:layout>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22934191620208058"/>
          <c:y val="9.4130279169649611E-2"/>
          <c:w val="0.72443957163582395"/>
          <c:h val="0.69165527862736165"/>
        </c:manualLayout>
      </c:layout>
      <c:barChart>
        <c:barDir val="col"/>
        <c:grouping val="clustered"/>
        <c:ser>
          <c:idx val="0"/>
          <c:order val="0"/>
          <c:tx>
            <c:strRef>
              <c:f>Sheet2!$B$107</c:f>
              <c:strCache>
                <c:ptCount val="1"/>
                <c:pt idx="0">
                  <c:v>1 (Temoin)</c:v>
                </c:pt>
              </c:strCache>
            </c:strRef>
          </c:tx>
          <c:spPr>
            <a:solidFill>
              <a:srgbClr val="0070C0"/>
            </a:solidFill>
            <a:ln>
              <a:solidFill>
                <a:srgbClr val="0070C0"/>
              </a:solidFill>
            </a:ln>
          </c:spPr>
          <c:errBars>
            <c:errBarType val="both"/>
            <c:errValType val="cust"/>
            <c:plus>
              <c:numRef>
                <c:f>Sheet1!$I$45:$I$48</c:f>
                <c:numCache>
                  <c:formatCode>General</c:formatCode>
                  <c:ptCount val="4"/>
                  <c:pt idx="0">
                    <c:v>7.3999999999999996E-2</c:v>
                  </c:pt>
                  <c:pt idx="1">
                    <c:v>3.9000000000000014E-2</c:v>
                  </c:pt>
                  <c:pt idx="2">
                    <c:v>2.9000000000000001E-2</c:v>
                  </c:pt>
                  <c:pt idx="3">
                    <c:v>2.5000000000000001E-2</c:v>
                  </c:pt>
                </c:numCache>
              </c:numRef>
            </c:plus>
            <c:minus>
              <c:numRef>
                <c:f>Sheet1!$I$45:$I$48</c:f>
                <c:numCache>
                  <c:formatCode>General</c:formatCode>
                  <c:ptCount val="4"/>
                  <c:pt idx="0">
                    <c:v>7.3999999999999996E-2</c:v>
                  </c:pt>
                  <c:pt idx="1">
                    <c:v>3.9000000000000014E-2</c:v>
                  </c:pt>
                  <c:pt idx="2">
                    <c:v>2.9000000000000001E-2</c:v>
                  </c:pt>
                  <c:pt idx="3">
                    <c:v>2.5000000000000001E-2</c:v>
                  </c:pt>
                </c:numCache>
              </c:numRef>
            </c:minus>
          </c:errBars>
          <c:cat>
            <c:strRef>
              <c:f>Sheet2!$A$108:$A$111</c:f>
              <c:strCache>
                <c:ptCount val="4"/>
                <c:pt idx="0">
                  <c:v>7 j</c:v>
                </c:pt>
                <c:pt idx="1">
                  <c:v>14 j</c:v>
                </c:pt>
                <c:pt idx="2">
                  <c:v>21 j</c:v>
                </c:pt>
                <c:pt idx="3">
                  <c:v>28 j</c:v>
                </c:pt>
              </c:strCache>
            </c:strRef>
          </c:cat>
          <c:val>
            <c:numRef>
              <c:f>Sheet2!$B$108:$B$111</c:f>
              <c:numCache>
                <c:formatCode>General</c:formatCode>
                <c:ptCount val="4"/>
                <c:pt idx="0">
                  <c:v>8.0400000000000009</c:v>
                </c:pt>
                <c:pt idx="1">
                  <c:v>7.6499999999999995</c:v>
                </c:pt>
                <c:pt idx="2">
                  <c:v>7.1899999999999995</c:v>
                </c:pt>
                <c:pt idx="3">
                  <c:v>7.02</c:v>
                </c:pt>
              </c:numCache>
            </c:numRef>
          </c:val>
        </c:ser>
        <c:ser>
          <c:idx val="1"/>
          <c:order val="1"/>
          <c:tx>
            <c:strRef>
              <c:f>Sheet2!$C$107</c:f>
              <c:strCache>
                <c:ptCount val="1"/>
                <c:pt idx="0">
                  <c:v>2 (Lactoserum)</c:v>
                </c:pt>
              </c:strCache>
            </c:strRef>
          </c:tx>
          <c:spPr>
            <a:solidFill>
              <a:srgbClr val="FF9900"/>
            </a:solidFill>
            <a:ln>
              <a:solidFill>
                <a:srgbClr val="FF9900"/>
              </a:solidFill>
            </a:ln>
          </c:spPr>
          <c:errBars>
            <c:errBarType val="both"/>
            <c:errValType val="cust"/>
            <c:plus>
              <c:numRef>
                <c:f>Sheet1!$J$45:$J$48</c:f>
                <c:numCache>
                  <c:formatCode>General</c:formatCode>
                  <c:ptCount val="4"/>
                  <c:pt idx="0">
                    <c:v>3.5999999999999997E-2</c:v>
                  </c:pt>
                  <c:pt idx="1">
                    <c:v>0.05</c:v>
                  </c:pt>
                  <c:pt idx="2">
                    <c:v>5.8000000000000003E-2</c:v>
                  </c:pt>
                  <c:pt idx="3">
                    <c:v>5.8000000000000003E-2</c:v>
                  </c:pt>
                </c:numCache>
              </c:numRef>
            </c:plus>
            <c:minus>
              <c:numRef>
                <c:f>Sheet1!$J$45:$J$48</c:f>
                <c:numCache>
                  <c:formatCode>General</c:formatCode>
                  <c:ptCount val="4"/>
                  <c:pt idx="0">
                    <c:v>3.5999999999999997E-2</c:v>
                  </c:pt>
                  <c:pt idx="1">
                    <c:v>0.05</c:v>
                  </c:pt>
                  <c:pt idx="2">
                    <c:v>5.8000000000000003E-2</c:v>
                  </c:pt>
                  <c:pt idx="3">
                    <c:v>5.8000000000000003E-2</c:v>
                  </c:pt>
                </c:numCache>
              </c:numRef>
            </c:minus>
          </c:errBars>
          <c:cat>
            <c:strRef>
              <c:f>Sheet2!$A$108:$A$111</c:f>
              <c:strCache>
                <c:ptCount val="4"/>
                <c:pt idx="0">
                  <c:v>7 j</c:v>
                </c:pt>
                <c:pt idx="1">
                  <c:v>14 j</c:v>
                </c:pt>
                <c:pt idx="2">
                  <c:v>21 j</c:v>
                </c:pt>
                <c:pt idx="3">
                  <c:v>28 j</c:v>
                </c:pt>
              </c:strCache>
            </c:strRef>
          </c:cat>
          <c:val>
            <c:numRef>
              <c:f>Sheet2!$C$108:$C$111</c:f>
              <c:numCache>
                <c:formatCode>General</c:formatCode>
                <c:ptCount val="4"/>
                <c:pt idx="0">
                  <c:v>10.31</c:v>
                </c:pt>
                <c:pt idx="1">
                  <c:v>10.18</c:v>
                </c:pt>
                <c:pt idx="2">
                  <c:v>9.76</c:v>
                </c:pt>
                <c:pt idx="3">
                  <c:v>9.27</c:v>
                </c:pt>
              </c:numCache>
            </c:numRef>
          </c:val>
        </c:ser>
        <c:ser>
          <c:idx val="2"/>
          <c:order val="2"/>
          <c:tx>
            <c:strRef>
              <c:f>Sheet2!$D$107</c:f>
              <c:strCache>
                <c:ptCount val="1"/>
                <c:pt idx="0">
                  <c:v>3 (Promilk)</c:v>
                </c:pt>
              </c:strCache>
            </c:strRef>
          </c:tx>
          <c:spPr>
            <a:solidFill>
              <a:srgbClr val="92D050"/>
            </a:solidFill>
            <a:ln>
              <a:solidFill>
                <a:srgbClr val="92D050"/>
              </a:solidFill>
            </a:ln>
          </c:spPr>
          <c:errBars>
            <c:errBarType val="both"/>
            <c:errValType val="cust"/>
            <c:plus>
              <c:numRef>
                <c:f>Sheet1!$K$45:$K$48</c:f>
                <c:numCache>
                  <c:formatCode>General</c:formatCode>
                  <c:ptCount val="4"/>
                  <c:pt idx="0">
                    <c:v>7.5999999999999998E-2</c:v>
                  </c:pt>
                  <c:pt idx="1">
                    <c:v>3.500000000000001E-2</c:v>
                  </c:pt>
                  <c:pt idx="2">
                    <c:v>4.5000000000000012E-2</c:v>
                  </c:pt>
                  <c:pt idx="3">
                    <c:v>4.3999999999999997E-2</c:v>
                  </c:pt>
                </c:numCache>
              </c:numRef>
            </c:plus>
            <c:minus>
              <c:numRef>
                <c:f>Sheet1!$K$45:$K$48</c:f>
                <c:numCache>
                  <c:formatCode>General</c:formatCode>
                  <c:ptCount val="4"/>
                  <c:pt idx="0">
                    <c:v>7.5999999999999998E-2</c:v>
                  </c:pt>
                  <c:pt idx="1">
                    <c:v>3.500000000000001E-2</c:v>
                  </c:pt>
                  <c:pt idx="2">
                    <c:v>4.5000000000000012E-2</c:v>
                  </c:pt>
                  <c:pt idx="3">
                    <c:v>4.3999999999999997E-2</c:v>
                  </c:pt>
                </c:numCache>
              </c:numRef>
            </c:minus>
          </c:errBars>
          <c:cat>
            <c:strRef>
              <c:f>Sheet2!$A$108:$A$111</c:f>
              <c:strCache>
                <c:ptCount val="4"/>
                <c:pt idx="0">
                  <c:v>7 j</c:v>
                </c:pt>
                <c:pt idx="1">
                  <c:v>14 j</c:v>
                </c:pt>
                <c:pt idx="2">
                  <c:v>21 j</c:v>
                </c:pt>
                <c:pt idx="3">
                  <c:v>28 j</c:v>
                </c:pt>
              </c:strCache>
            </c:strRef>
          </c:cat>
          <c:val>
            <c:numRef>
              <c:f>Sheet2!$D$108:$D$111</c:f>
              <c:numCache>
                <c:formatCode>General</c:formatCode>
                <c:ptCount val="4"/>
                <c:pt idx="0">
                  <c:v>8.7200000000000006</c:v>
                </c:pt>
                <c:pt idx="1">
                  <c:v>8.18</c:v>
                </c:pt>
                <c:pt idx="2">
                  <c:v>7.74</c:v>
                </c:pt>
                <c:pt idx="3">
                  <c:v>7.14</c:v>
                </c:pt>
              </c:numCache>
            </c:numRef>
          </c:val>
        </c:ser>
        <c:ser>
          <c:idx val="3"/>
          <c:order val="3"/>
          <c:tx>
            <c:strRef>
              <c:f>Sheet2!$E$107</c:f>
              <c:strCache>
                <c:ptCount val="1"/>
                <c:pt idx="0">
                  <c:v>4 (H. Caseine)</c:v>
                </c:pt>
              </c:strCache>
            </c:strRef>
          </c:tx>
          <c:spPr>
            <a:solidFill>
              <a:srgbClr val="990099"/>
            </a:solidFill>
            <a:ln>
              <a:solidFill>
                <a:srgbClr val="990099"/>
              </a:solidFill>
            </a:ln>
          </c:spPr>
          <c:errBars>
            <c:errBarType val="both"/>
            <c:errValType val="cust"/>
            <c:plus>
              <c:numRef>
                <c:f>Sheet1!$L$45:$L$48</c:f>
                <c:numCache>
                  <c:formatCode>General</c:formatCode>
                  <c:ptCount val="4"/>
                  <c:pt idx="0">
                    <c:v>5.6000000000000001E-2</c:v>
                  </c:pt>
                  <c:pt idx="1">
                    <c:v>5.6000000000000001E-2</c:v>
                  </c:pt>
                  <c:pt idx="2">
                    <c:v>4.8000000000000001E-2</c:v>
                  </c:pt>
                  <c:pt idx="3">
                    <c:v>4.8000000000000001E-2</c:v>
                  </c:pt>
                </c:numCache>
              </c:numRef>
            </c:plus>
            <c:minus>
              <c:numRef>
                <c:f>Sheet1!$L$45:$L$48</c:f>
                <c:numCache>
                  <c:formatCode>General</c:formatCode>
                  <c:ptCount val="4"/>
                  <c:pt idx="0">
                    <c:v>5.6000000000000001E-2</c:v>
                  </c:pt>
                  <c:pt idx="1">
                    <c:v>5.6000000000000001E-2</c:v>
                  </c:pt>
                  <c:pt idx="2">
                    <c:v>4.8000000000000001E-2</c:v>
                  </c:pt>
                  <c:pt idx="3">
                    <c:v>4.8000000000000001E-2</c:v>
                  </c:pt>
                </c:numCache>
              </c:numRef>
            </c:minus>
          </c:errBars>
          <c:cat>
            <c:strRef>
              <c:f>Sheet2!$A$108:$A$111</c:f>
              <c:strCache>
                <c:ptCount val="4"/>
                <c:pt idx="0">
                  <c:v>7 j</c:v>
                </c:pt>
                <c:pt idx="1">
                  <c:v>14 j</c:v>
                </c:pt>
                <c:pt idx="2">
                  <c:v>21 j</c:v>
                </c:pt>
                <c:pt idx="3">
                  <c:v>28 j</c:v>
                </c:pt>
              </c:strCache>
            </c:strRef>
          </c:cat>
          <c:val>
            <c:numRef>
              <c:f>Sheet2!$E$108:$E$111</c:f>
              <c:numCache>
                <c:formatCode>General</c:formatCode>
                <c:ptCount val="4"/>
                <c:pt idx="0">
                  <c:v>8.8700000000000028</c:v>
                </c:pt>
                <c:pt idx="1">
                  <c:v>8.66</c:v>
                </c:pt>
                <c:pt idx="2">
                  <c:v>8.120000000000001</c:v>
                </c:pt>
                <c:pt idx="3">
                  <c:v>7.6899999999999995</c:v>
                </c:pt>
              </c:numCache>
            </c:numRef>
          </c:val>
        </c:ser>
        <c:ser>
          <c:idx val="4"/>
          <c:order val="4"/>
          <c:tx>
            <c:strRef>
              <c:f>Sheet2!$F$107</c:f>
              <c:strCache>
                <c:ptCount val="1"/>
                <c:pt idx="0">
                  <c:v>5 (H. Proteine)</c:v>
                </c:pt>
              </c:strCache>
            </c:strRef>
          </c:tx>
          <c:spPr>
            <a:solidFill>
              <a:srgbClr val="FF33CC"/>
            </a:solidFill>
            <a:ln>
              <a:solidFill>
                <a:srgbClr val="FF33CC"/>
              </a:solidFill>
            </a:ln>
          </c:spPr>
          <c:errBars>
            <c:errBarType val="both"/>
            <c:errValType val="cust"/>
            <c:plus>
              <c:numRef>
                <c:f>Sheet1!$M$45:$M$48</c:f>
                <c:numCache>
                  <c:formatCode>General</c:formatCode>
                  <c:ptCount val="4"/>
                  <c:pt idx="0">
                    <c:v>3.3000000000000002E-2</c:v>
                  </c:pt>
                  <c:pt idx="1">
                    <c:v>6.6000000000000003E-2</c:v>
                  </c:pt>
                  <c:pt idx="2">
                    <c:v>6.0000000000000032E-2</c:v>
                  </c:pt>
                  <c:pt idx="3">
                    <c:v>6.1000000000000013E-2</c:v>
                  </c:pt>
                </c:numCache>
              </c:numRef>
            </c:plus>
            <c:minus>
              <c:numRef>
                <c:f>Sheet1!$M$45:$M$48</c:f>
                <c:numCache>
                  <c:formatCode>General</c:formatCode>
                  <c:ptCount val="4"/>
                  <c:pt idx="0">
                    <c:v>3.3000000000000002E-2</c:v>
                  </c:pt>
                  <c:pt idx="1">
                    <c:v>6.6000000000000003E-2</c:v>
                  </c:pt>
                  <c:pt idx="2">
                    <c:v>6.0000000000000032E-2</c:v>
                  </c:pt>
                  <c:pt idx="3">
                    <c:v>6.1000000000000013E-2</c:v>
                  </c:pt>
                </c:numCache>
              </c:numRef>
            </c:minus>
          </c:errBars>
          <c:cat>
            <c:strRef>
              <c:f>Sheet2!$A$108:$A$111</c:f>
              <c:strCache>
                <c:ptCount val="4"/>
                <c:pt idx="0">
                  <c:v>7 j</c:v>
                </c:pt>
                <c:pt idx="1">
                  <c:v>14 j</c:v>
                </c:pt>
                <c:pt idx="2">
                  <c:v>21 j</c:v>
                </c:pt>
                <c:pt idx="3">
                  <c:v>28 j</c:v>
                </c:pt>
              </c:strCache>
            </c:strRef>
          </c:cat>
          <c:val>
            <c:numRef>
              <c:f>Sheet2!$F$108:$F$111</c:f>
              <c:numCache>
                <c:formatCode>General</c:formatCode>
                <c:ptCount val="4"/>
                <c:pt idx="0">
                  <c:v>9.51</c:v>
                </c:pt>
                <c:pt idx="1">
                  <c:v>9.11</c:v>
                </c:pt>
                <c:pt idx="2">
                  <c:v>8.61</c:v>
                </c:pt>
                <c:pt idx="3">
                  <c:v>7.95</c:v>
                </c:pt>
              </c:numCache>
            </c:numRef>
          </c:val>
        </c:ser>
        <c:axId val="50478080"/>
        <c:axId val="50496640"/>
      </c:barChart>
      <c:catAx>
        <c:axId val="50478080"/>
        <c:scaling>
          <c:orientation val="minMax"/>
        </c:scaling>
        <c:axPos val="b"/>
        <c:title>
          <c:tx>
            <c:rich>
              <a:bodyPr/>
              <a:lstStyle/>
              <a:p>
                <a:pPr>
                  <a:defRPr/>
                </a:pPr>
                <a:r>
                  <a:rPr lang="en-US"/>
                  <a:t>Entreposage à +4°C en jours</a:t>
                </a:r>
              </a:p>
            </c:rich>
          </c:tx>
          <c:layout>
            <c:manualLayout>
              <c:xMode val="edge"/>
              <c:yMode val="edge"/>
              <c:x val="0.26287717684924788"/>
              <c:y val="0.91323665477067151"/>
            </c:manualLayout>
          </c:layout>
        </c:title>
        <c:numFmt formatCode="General" sourceLinked="1"/>
        <c:tickLblPos val="nextTo"/>
        <c:spPr>
          <a:ln>
            <a:solidFill>
              <a:sysClr val="windowText" lastClr="000000"/>
            </a:solidFill>
          </a:ln>
        </c:spPr>
        <c:txPr>
          <a:bodyPr/>
          <a:lstStyle/>
          <a:p>
            <a:pPr>
              <a:defRPr b="1"/>
            </a:pPr>
            <a:endParaRPr lang="fr-FR"/>
          </a:p>
        </c:txPr>
        <c:crossAx val="50496640"/>
        <c:crosses val="autoZero"/>
        <c:auto val="1"/>
        <c:lblAlgn val="ctr"/>
        <c:lblOffset val="100"/>
      </c:catAx>
      <c:valAx>
        <c:axId val="50496640"/>
        <c:scaling>
          <c:orientation val="minMax"/>
          <c:max val="10.5"/>
          <c:min val="6"/>
        </c:scaling>
        <c:axPos val="l"/>
        <c:title>
          <c:tx>
            <c:rich>
              <a:bodyPr rot="-5400000" vert="horz"/>
              <a:lstStyle/>
              <a:p>
                <a:pPr>
                  <a:defRPr/>
                </a:pPr>
                <a:r>
                  <a:rPr lang="en-US"/>
                  <a:t>log UFC/ml</a:t>
                </a:r>
              </a:p>
            </c:rich>
          </c:tx>
          <c:layout/>
        </c:title>
        <c:numFmt formatCode="General" sourceLinked="1"/>
        <c:tickLblPos val="nextTo"/>
        <c:spPr>
          <a:ln>
            <a:solidFill>
              <a:sysClr val="windowText" lastClr="000000"/>
            </a:solidFill>
          </a:ln>
        </c:spPr>
        <c:txPr>
          <a:bodyPr/>
          <a:lstStyle/>
          <a:p>
            <a:pPr>
              <a:defRPr b="1"/>
            </a:pPr>
            <a:endParaRPr lang="fr-FR"/>
          </a:p>
        </c:txPr>
        <c:crossAx val="50478080"/>
        <c:crosses val="autoZero"/>
        <c:crossBetween val="between"/>
        <c:majorUnit val="0.5"/>
      </c:valAx>
    </c:plotArea>
    <c:plotVisOnly val="1"/>
    <c:dispBlanksAs val="gap"/>
  </c:chart>
  <c:spPr>
    <a:ln>
      <a:solidFill>
        <a:schemeClr val="bg1"/>
      </a:solidFill>
    </a:ln>
  </c:spPr>
  <c:externalData r:id="rId1"/>
  <c:userShapes r:id="rId2"/>
</c:chartSpace>
</file>

<file path=word/charts/chart41.xml><?xml version="1.0" encoding="utf-8"?>
<c:chartSpace xmlns:c="http://schemas.openxmlformats.org/drawingml/2006/chart" xmlns:a="http://schemas.openxmlformats.org/drawingml/2006/main" xmlns:r="http://schemas.openxmlformats.org/officeDocument/2006/relationships">
  <c:date1904 val="1"/>
  <c:lang val="fr-FR"/>
  <c:style val="27"/>
  <c:chart>
    <c:title>
      <c:tx>
        <c:rich>
          <a:bodyPr/>
          <a:lstStyle/>
          <a:p>
            <a:pPr>
              <a:defRPr/>
            </a:pPr>
            <a:r>
              <a:rPr lang="fr-FR" b="0">
                <a:latin typeface="Times New Roman" pitchFamily="18" charset="0"/>
                <a:cs typeface="Times New Roman" pitchFamily="18" charset="0"/>
              </a:rPr>
              <a:t>E</a:t>
            </a:r>
          </a:p>
        </c:rich>
      </c:tx>
      <c:layout>
        <c:manualLayout>
          <c:xMode val="edge"/>
          <c:yMode val="edge"/>
          <c:x val="4.8421374512651744E-3"/>
          <c:y val="0"/>
        </c:manualLayout>
      </c:layout>
      <c:spPr>
        <a:solidFill>
          <a:schemeClr val="bg1">
            <a:lumMod val="85000"/>
          </a:schemeClr>
        </a:solidFill>
        <a:scene3d>
          <a:camera prst="orthographicFront"/>
          <a:lightRig rig="threePt" dir="t"/>
        </a:scene3d>
        <a:sp3d>
          <a:bevelT w="190500" h="38100"/>
        </a:sp3d>
      </c:spPr>
    </c:title>
    <c:plotArea>
      <c:layout>
        <c:manualLayout>
          <c:layoutTarget val="inner"/>
          <c:xMode val="edge"/>
          <c:yMode val="edge"/>
          <c:x val="0.19309647580460221"/>
          <c:y val="0.11164396117152023"/>
          <c:w val="0.7618725632596911"/>
          <c:h val="0.68748174260644201"/>
        </c:manualLayout>
      </c:layout>
      <c:barChart>
        <c:barDir val="col"/>
        <c:grouping val="clustered"/>
        <c:ser>
          <c:idx val="0"/>
          <c:order val="0"/>
          <c:tx>
            <c:strRef>
              <c:f>Sheet2!$B$85</c:f>
              <c:strCache>
                <c:ptCount val="1"/>
                <c:pt idx="0">
                  <c:v>1 (Temoin)</c:v>
                </c:pt>
              </c:strCache>
            </c:strRef>
          </c:tx>
          <c:spPr>
            <a:solidFill>
              <a:srgbClr val="0070C0"/>
            </a:solidFill>
            <a:ln>
              <a:solidFill>
                <a:srgbClr val="0070C0"/>
              </a:solidFill>
            </a:ln>
          </c:spPr>
          <c:errBars>
            <c:errBarType val="both"/>
            <c:errValType val="cust"/>
            <c:plus>
              <c:numRef>
                <c:f>Sheet1!$I$37:$I$40</c:f>
                <c:numCache>
                  <c:formatCode>General</c:formatCode>
                  <c:ptCount val="4"/>
                  <c:pt idx="0">
                    <c:v>7.0000000000000021E-2</c:v>
                  </c:pt>
                  <c:pt idx="1">
                    <c:v>5.3000000000000012E-2</c:v>
                  </c:pt>
                  <c:pt idx="2">
                    <c:v>5.3999999999999999E-2</c:v>
                  </c:pt>
                  <c:pt idx="3">
                    <c:v>5.3999999999999999E-2</c:v>
                  </c:pt>
                </c:numCache>
              </c:numRef>
            </c:plus>
            <c:minus>
              <c:numRef>
                <c:f>Sheet1!$I$37:$I$40</c:f>
                <c:numCache>
                  <c:formatCode>General</c:formatCode>
                  <c:ptCount val="4"/>
                  <c:pt idx="0">
                    <c:v>7.0000000000000021E-2</c:v>
                  </c:pt>
                  <c:pt idx="1">
                    <c:v>5.3000000000000012E-2</c:v>
                  </c:pt>
                  <c:pt idx="2">
                    <c:v>5.3999999999999999E-2</c:v>
                  </c:pt>
                  <c:pt idx="3">
                    <c:v>5.3999999999999999E-2</c:v>
                  </c:pt>
                </c:numCache>
              </c:numRef>
            </c:minus>
          </c:errBars>
          <c:cat>
            <c:strRef>
              <c:f>Sheet2!$A$86:$A$89</c:f>
              <c:strCache>
                <c:ptCount val="4"/>
                <c:pt idx="0">
                  <c:v>7 j</c:v>
                </c:pt>
                <c:pt idx="1">
                  <c:v>14 j</c:v>
                </c:pt>
                <c:pt idx="2">
                  <c:v>21 j</c:v>
                </c:pt>
                <c:pt idx="3">
                  <c:v>28 j</c:v>
                </c:pt>
              </c:strCache>
            </c:strRef>
          </c:cat>
          <c:val>
            <c:numRef>
              <c:f>Sheet2!$B$86:$B$89</c:f>
              <c:numCache>
                <c:formatCode>General</c:formatCode>
                <c:ptCount val="4"/>
                <c:pt idx="0">
                  <c:v>6.71</c:v>
                </c:pt>
                <c:pt idx="1">
                  <c:v>6.2700000000000014</c:v>
                </c:pt>
                <c:pt idx="2">
                  <c:v>5.79</c:v>
                </c:pt>
                <c:pt idx="3">
                  <c:v>5.58</c:v>
                </c:pt>
              </c:numCache>
            </c:numRef>
          </c:val>
        </c:ser>
        <c:ser>
          <c:idx val="1"/>
          <c:order val="1"/>
          <c:tx>
            <c:strRef>
              <c:f>Sheet2!$C$85</c:f>
              <c:strCache>
                <c:ptCount val="1"/>
                <c:pt idx="0">
                  <c:v>2 (Lactoserum)</c:v>
                </c:pt>
              </c:strCache>
            </c:strRef>
          </c:tx>
          <c:spPr>
            <a:solidFill>
              <a:srgbClr val="FF9900"/>
            </a:solidFill>
            <a:ln>
              <a:solidFill>
                <a:srgbClr val="FF9900"/>
              </a:solidFill>
            </a:ln>
          </c:spPr>
          <c:errBars>
            <c:errBarType val="both"/>
            <c:errValType val="cust"/>
            <c:plus>
              <c:numRef>
                <c:f>Sheet1!$J$37:$J$40</c:f>
                <c:numCache>
                  <c:formatCode>General</c:formatCode>
                  <c:ptCount val="4"/>
                  <c:pt idx="0">
                    <c:v>2.5999999999999999E-2</c:v>
                  </c:pt>
                  <c:pt idx="1">
                    <c:v>3.7999999999999999E-2</c:v>
                  </c:pt>
                  <c:pt idx="2">
                    <c:v>4.3999999999999997E-2</c:v>
                  </c:pt>
                  <c:pt idx="3">
                    <c:v>5.3999999999999999E-2</c:v>
                  </c:pt>
                </c:numCache>
              </c:numRef>
            </c:plus>
            <c:minus>
              <c:numRef>
                <c:f>Sheet1!$J$37:$J$40</c:f>
                <c:numCache>
                  <c:formatCode>General</c:formatCode>
                  <c:ptCount val="4"/>
                  <c:pt idx="0">
                    <c:v>2.5999999999999999E-2</c:v>
                  </c:pt>
                  <c:pt idx="1">
                    <c:v>3.7999999999999999E-2</c:v>
                  </c:pt>
                  <c:pt idx="2">
                    <c:v>4.3999999999999997E-2</c:v>
                  </c:pt>
                  <c:pt idx="3">
                    <c:v>5.3999999999999999E-2</c:v>
                  </c:pt>
                </c:numCache>
              </c:numRef>
            </c:minus>
          </c:errBars>
          <c:cat>
            <c:strRef>
              <c:f>Sheet2!$A$86:$A$89</c:f>
              <c:strCache>
                <c:ptCount val="4"/>
                <c:pt idx="0">
                  <c:v>7 j</c:v>
                </c:pt>
                <c:pt idx="1">
                  <c:v>14 j</c:v>
                </c:pt>
                <c:pt idx="2">
                  <c:v>21 j</c:v>
                </c:pt>
                <c:pt idx="3">
                  <c:v>28 j</c:v>
                </c:pt>
              </c:strCache>
            </c:strRef>
          </c:cat>
          <c:val>
            <c:numRef>
              <c:f>Sheet2!$C$86:$C$89</c:f>
              <c:numCache>
                <c:formatCode>General</c:formatCode>
                <c:ptCount val="4"/>
                <c:pt idx="0">
                  <c:v>8.3700000000000028</c:v>
                </c:pt>
                <c:pt idx="1">
                  <c:v>8.129999999999999</c:v>
                </c:pt>
                <c:pt idx="2">
                  <c:v>7.64</c:v>
                </c:pt>
                <c:pt idx="3">
                  <c:v>7.09</c:v>
                </c:pt>
              </c:numCache>
            </c:numRef>
          </c:val>
        </c:ser>
        <c:ser>
          <c:idx val="2"/>
          <c:order val="2"/>
          <c:tx>
            <c:strRef>
              <c:f>Sheet2!$D$85</c:f>
              <c:strCache>
                <c:ptCount val="1"/>
                <c:pt idx="0">
                  <c:v>3 (Promilk)</c:v>
                </c:pt>
              </c:strCache>
            </c:strRef>
          </c:tx>
          <c:spPr>
            <a:solidFill>
              <a:srgbClr val="92D050"/>
            </a:solidFill>
            <a:ln>
              <a:solidFill>
                <a:srgbClr val="92D050"/>
              </a:solidFill>
            </a:ln>
          </c:spPr>
          <c:errBars>
            <c:errBarType val="both"/>
            <c:errValType val="cust"/>
            <c:plus>
              <c:numRef>
                <c:f>Sheet1!$K$37:$K$40</c:f>
                <c:numCache>
                  <c:formatCode>General</c:formatCode>
                  <c:ptCount val="4"/>
                  <c:pt idx="0">
                    <c:v>4.5000000000000012E-2</c:v>
                  </c:pt>
                  <c:pt idx="1">
                    <c:v>2.8000000000000001E-2</c:v>
                  </c:pt>
                  <c:pt idx="2">
                    <c:v>4.9000000000000113E-2</c:v>
                  </c:pt>
                  <c:pt idx="3">
                    <c:v>4.3999999999999997E-2</c:v>
                  </c:pt>
                </c:numCache>
              </c:numRef>
            </c:plus>
            <c:minus>
              <c:numRef>
                <c:f>Sheet1!$K$37:$K$40</c:f>
                <c:numCache>
                  <c:formatCode>General</c:formatCode>
                  <c:ptCount val="4"/>
                  <c:pt idx="0">
                    <c:v>4.5000000000000012E-2</c:v>
                  </c:pt>
                  <c:pt idx="1">
                    <c:v>2.8000000000000001E-2</c:v>
                  </c:pt>
                  <c:pt idx="2">
                    <c:v>4.9000000000000113E-2</c:v>
                  </c:pt>
                  <c:pt idx="3">
                    <c:v>4.3999999999999997E-2</c:v>
                  </c:pt>
                </c:numCache>
              </c:numRef>
            </c:minus>
          </c:errBars>
          <c:cat>
            <c:strRef>
              <c:f>Sheet2!$A$86:$A$89</c:f>
              <c:strCache>
                <c:ptCount val="4"/>
                <c:pt idx="0">
                  <c:v>7 j</c:v>
                </c:pt>
                <c:pt idx="1">
                  <c:v>14 j</c:v>
                </c:pt>
                <c:pt idx="2">
                  <c:v>21 j</c:v>
                </c:pt>
                <c:pt idx="3">
                  <c:v>28 j</c:v>
                </c:pt>
              </c:strCache>
            </c:strRef>
          </c:cat>
          <c:val>
            <c:numRef>
              <c:f>Sheet2!$D$86:$D$89</c:f>
              <c:numCache>
                <c:formatCode>General</c:formatCode>
                <c:ptCount val="4"/>
                <c:pt idx="0">
                  <c:v>7.8599999999999985</c:v>
                </c:pt>
                <c:pt idx="1">
                  <c:v>7.3</c:v>
                </c:pt>
                <c:pt idx="2">
                  <c:v>7.04</c:v>
                </c:pt>
                <c:pt idx="3">
                  <c:v>6.68</c:v>
                </c:pt>
              </c:numCache>
            </c:numRef>
          </c:val>
        </c:ser>
        <c:ser>
          <c:idx val="3"/>
          <c:order val="3"/>
          <c:tx>
            <c:strRef>
              <c:f>Sheet2!$E$85</c:f>
              <c:strCache>
                <c:ptCount val="1"/>
                <c:pt idx="0">
                  <c:v>4 (H. Caseine)</c:v>
                </c:pt>
              </c:strCache>
            </c:strRef>
          </c:tx>
          <c:spPr>
            <a:solidFill>
              <a:srgbClr val="990099"/>
            </a:solidFill>
            <a:ln>
              <a:solidFill>
                <a:srgbClr val="990099"/>
              </a:solidFill>
            </a:ln>
          </c:spPr>
          <c:errBars>
            <c:errBarType val="both"/>
            <c:errValType val="cust"/>
            <c:plus>
              <c:numRef>
                <c:f>Sheet1!$L$37:$L$40</c:f>
                <c:numCache>
                  <c:formatCode>General</c:formatCode>
                  <c:ptCount val="4"/>
                  <c:pt idx="0">
                    <c:v>3.500000000000001E-2</c:v>
                  </c:pt>
                  <c:pt idx="1">
                    <c:v>4.7000000000000014E-2</c:v>
                  </c:pt>
                  <c:pt idx="2">
                    <c:v>2.9000000000000001E-2</c:v>
                  </c:pt>
                  <c:pt idx="3">
                    <c:v>2.8000000000000001E-2</c:v>
                  </c:pt>
                </c:numCache>
              </c:numRef>
            </c:plus>
            <c:minus>
              <c:numRef>
                <c:f>Sheet1!$L$37:$L$40</c:f>
                <c:numCache>
                  <c:formatCode>General</c:formatCode>
                  <c:ptCount val="4"/>
                  <c:pt idx="0">
                    <c:v>3.500000000000001E-2</c:v>
                  </c:pt>
                  <c:pt idx="1">
                    <c:v>4.7000000000000014E-2</c:v>
                  </c:pt>
                  <c:pt idx="2">
                    <c:v>2.9000000000000001E-2</c:v>
                  </c:pt>
                  <c:pt idx="3">
                    <c:v>2.8000000000000001E-2</c:v>
                  </c:pt>
                </c:numCache>
              </c:numRef>
            </c:minus>
          </c:errBars>
          <c:cat>
            <c:strRef>
              <c:f>Sheet2!$A$86:$A$89</c:f>
              <c:strCache>
                <c:ptCount val="4"/>
                <c:pt idx="0">
                  <c:v>7 j</c:v>
                </c:pt>
                <c:pt idx="1">
                  <c:v>14 j</c:v>
                </c:pt>
                <c:pt idx="2">
                  <c:v>21 j</c:v>
                </c:pt>
                <c:pt idx="3">
                  <c:v>28 j</c:v>
                </c:pt>
              </c:strCache>
            </c:strRef>
          </c:cat>
          <c:val>
            <c:numRef>
              <c:f>Sheet2!$E$86:$E$89</c:f>
              <c:numCache>
                <c:formatCode>General</c:formatCode>
                <c:ptCount val="4"/>
                <c:pt idx="0">
                  <c:v>8.09</c:v>
                </c:pt>
                <c:pt idx="1">
                  <c:v>7.64</c:v>
                </c:pt>
                <c:pt idx="2">
                  <c:v>7.06</c:v>
                </c:pt>
                <c:pt idx="3">
                  <c:v>6.8199999999999985</c:v>
                </c:pt>
              </c:numCache>
            </c:numRef>
          </c:val>
        </c:ser>
        <c:ser>
          <c:idx val="4"/>
          <c:order val="4"/>
          <c:tx>
            <c:strRef>
              <c:f>Sheet2!$F$85</c:f>
              <c:strCache>
                <c:ptCount val="1"/>
                <c:pt idx="0">
                  <c:v>5 (H. Proteine)</c:v>
                </c:pt>
              </c:strCache>
            </c:strRef>
          </c:tx>
          <c:spPr>
            <a:solidFill>
              <a:srgbClr val="FF33CC"/>
            </a:solidFill>
            <a:ln>
              <a:solidFill>
                <a:srgbClr val="FF33CC"/>
              </a:solidFill>
            </a:ln>
          </c:spPr>
          <c:errBars>
            <c:errBarType val="both"/>
            <c:errValType val="cust"/>
            <c:plus>
              <c:numRef>
                <c:f>Sheet1!$M$37:$M$40</c:f>
                <c:numCache>
                  <c:formatCode>General</c:formatCode>
                  <c:ptCount val="4"/>
                  <c:pt idx="0">
                    <c:v>4.5000000000000012E-2</c:v>
                  </c:pt>
                  <c:pt idx="1">
                    <c:v>3.0000000000000002E-2</c:v>
                  </c:pt>
                  <c:pt idx="2">
                    <c:v>3.4000000000000002E-2</c:v>
                  </c:pt>
                  <c:pt idx="3">
                    <c:v>3.7999999999999999E-2</c:v>
                  </c:pt>
                </c:numCache>
              </c:numRef>
            </c:plus>
            <c:minus>
              <c:numRef>
                <c:f>Sheet1!$M$37:$M$40</c:f>
                <c:numCache>
                  <c:formatCode>General</c:formatCode>
                  <c:ptCount val="4"/>
                  <c:pt idx="0">
                    <c:v>4.5000000000000012E-2</c:v>
                  </c:pt>
                  <c:pt idx="1">
                    <c:v>3.0000000000000002E-2</c:v>
                  </c:pt>
                  <c:pt idx="2">
                    <c:v>3.4000000000000002E-2</c:v>
                  </c:pt>
                  <c:pt idx="3">
                    <c:v>3.7999999999999999E-2</c:v>
                  </c:pt>
                </c:numCache>
              </c:numRef>
            </c:minus>
          </c:errBars>
          <c:cat>
            <c:strRef>
              <c:f>Sheet2!$A$86:$A$89</c:f>
              <c:strCache>
                <c:ptCount val="4"/>
                <c:pt idx="0">
                  <c:v>7 j</c:v>
                </c:pt>
                <c:pt idx="1">
                  <c:v>14 j</c:v>
                </c:pt>
                <c:pt idx="2">
                  <c:v>21 j</c:v>
                </c:pt>
                <c:pt idx="3">
                  <c:v>28 j</c:v>
                </c:pt>
              </c:strCache>
            </c:strRef>
          </c:cat>
          <c:val>
            <c:numRef>
              <c:f>Sheet2!$F$86:$F$89</c:f>
              <c:numCache>
                <c:formatCode>General</c:formatCode>
                <c:ptCount val="4"/>
                <c:pt idx="0">
                  <c:v>8.67</c:v>
                </c:pt>
                <c:pt idx="1">
                  <c:v>8.19</c:v>
                </c:pt>
                <c:pt idx="2">
                  <c:v>7.9300000000000024</c:v>
                </c:pt>
                <c:pt idx="3">
                  <c:v>7.73</c:v>
                </c:pt>
              </c:numCache>
            </c:numRef>
          </c:val>
        </c:ser>
        <c:axId val="50546560"/>
        <c:axId val="50561024"/>
      </c:barChart>
      <c:catAx>
        <c:axId val="50546560"/>
        <c:scaling>
          <c:orientation val="minMax"/>
        </c:scaling>
        <c:axPos val="b"/>
        <c:title>
          <c:tx>
            <c:rich>
              <a:bodyPr/>
              <a:lstStyle/>
              <a:p>
                <a:pPr>
                  <a:defRPr/>
                </a:pPr>
                <a:r>
                  <a:rPr lang="en-US">
                    <a:latin typeface="Times New Roman" pitchFamily="18" charset="0"/>
                    <a:cs typeface="Times New Roman" pitchFamily="18" charset="0"/>
                  </a:rPr>
                  <a:t>Entreposage à +4°C en jours</a:t>
                </a:r>
              </a:p>
            </c:rich>
          </c:tx>
          <c:layout>
            <c:manualLayout>
              <c:xMode val="edge"/>
              <c:yMode val="edge"/>
              <c:x val="0.27051601559513799"/>
              <c:y val="0.91955005624296959"/>
            </c:manualLayout>
          </c:layout>
        </c:title>
        <c:numFmt formatCode="General" sourceLinked="1"/>
        <c:tickLblPos val="nextTo"/>
        <c:spPr>
          <a:ln>
            <a:solidFill>
              <a:sysClr val="windowText" lastClr="000000"/>
            </a:solidFill>
          </a:ln>
        </c:spPr>
        <c:txPr>
          <a:bodyPr/>
          <a:lstStyle/>
          <a:p>
            <a:pPr>
              <a:defRPr b="1"/>
            </a:pPr>
            <a:endParaRPr lang="fr-FR"/>
          </a:p>
        </c:txPr>
        <c:crossAx val="50561024"/>
        <c:crosses val="autoZero"/>
        <c:auto val="1"/>
        <c:lblAlgn val="ctr"/>
        <c:lblOffset val="100"/>
      </c:catAx>
      <c:valAx>
        <c:axId val="50561024"/>
        <c:scaling>
          <c:orientation val="minMax"/>
          <c:max val="9"/>
          <c:min val="5"/>
        </c:scaling>
        <c:axPos val="l"/>
        <c:title>
          <c:tx>
            <c:rich>
              <a:bodyPr rot="-5400000" vert="horz"/>
              <a:lstStyle/>
              <a:p>
                <a:pPr>
                  <a:defRPr/>
                </a:pPr>
                <a:r>
                  <a:rPr lang="en-US">
                    <a:latin typeface="Times New Roman" pitchFamily="18" charset="0"/>
                    <a:cs typeface="Times New Roman" pitchFamily="18" charset="0"/>
                  </a:rPr>
                  <a:t>log UFC/ml</a:t>
                </a:r>
              </a:p>
            </c:rich>
          </c:tx>
          <c:layout>
            <c:manualLayout>
              <c:xMode val="edge"/>
              <c:yMode val="edge"/>
              <c:x val="0"/>
              <c:y val="0.31747448235637338"/>
            </c:manualLayout>
          </c:layout>
        </c:title>
        <c:numFmt formatCode="General" sourceLinked="1"/>
        <c:tickLblPos val="nextTo"/>
        <c:spPr>
          <a:ln>
            <a:solidFill>
              <a:sysClr val="windowText" lastClr="000000"/>
            </a:solidFill>
          </a:ln>
        </c:spPr>
        <c:txPr>
          <a:bodyPr/>
          <a:lstStyle/>
          <a:p>
            <a:pPr>
              <a:defRPr b="1"/>
            </a:pPr>
            <a:endParaRPr lang="fr-FR"/>
          </a:p>
        </c:txPr>
        <c:crossAx val="50546560"/>
        <c:crosses val="autoZero"/>
        <c:crossBetween val="between"/>
        <c:majorUnit val="0.5"/>
      </c:valAx>
    </c:plotArea>
    <c:plotVisOnly val="1"/>
    <c:dispBlanksAs val="gap"/>
  </c:chart>
  <c:spPr>
    <a:ln>
      <a:solidFill>
        <a:schemeClr val="bg1"/>
      </a:solidFill>
    </a:ln>
  </c:spPr>
  <c:externalData r:id="rId1"/>
  <c:userShapes r:id="rId2"/>
</c:chartSpace>
</file>

<file path=word/charts/chart42.xml><?xml version="1.0" encoding="utf-8"?>
<c:chartSpace xmlns:c="http://schemas.openxmlformats.org/drawingml/2006/chart" xmlns:a="http://schemas.openxmlformats.org/drawingml/2006/main" xmlns:r="http://schemas.openxmlformats.org/officeDocument/2006/relationships">
  <c:date1904 val="1"/>
  <c:lang val="fr-FR"/>
  <c:style val="27"/>
  <c:chart>
    <c:title>
      <c:tx>
        <c:rich>
          <a:bodyPr/>
          <a:lstStyle/>
          <a:p>
            <a:pPr>
              <a:defRPr/>
            </a:pPr>
            <a:r>
              <a:rPr lang="fr-FR" b="0">
                <a:latin typeface="Times New Roman" pitchFamily="18" charset="0"/>
                <a:cs typeface="Times New Roman" pitchFamily="18" charset="0"/>
              </a:rPr>
              <a:t>D</a:t>
            </a:r>
          </a:p>
        </c:rich>
      </c:tx>
      <c:layout>
        <c:manualLayout>
          <c:xMode val="edge"/>
          <c:yMode val="edge"/>
          <c:x val="3.120499279884819E-3"/>
          <c:y val="0"/>
        </c:manualLayout>
      </c:layout>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2257241788607437"/>
          <c:y val="8.6628765998845184E-2"/>
          <c:w val="0.74185073019719183"/>
          <c:h val="0.70082591027473162"/>
        </c:manualLayout>
      </c:layout>
      <c:barChart>
        <c:barDir val="col"/>
        <c:grouping val="clustered"/>
        <c:ser>
          <c:idx val="0"/>
          <c:order val="0"/>
          <c:tx>
            <c:strRef>
              <c:f>Sheet2!$B$81</c:f>
              <c:strCache>
                <c:ptCount val="1"/>
                <c:pt idx="0">
                  <c:v>1 (Temoin)</c:v>
                </c:pt>
              </c:strCache>
            </c:strRef>
          </c:tx>
          <c:spPr>
            <a:solidFill>
              <a:srgbClr val="0070C0"/>
            </a:solidFill>
            <a:ln>
              <a:solidFill>
                <a:srgbClr val="0070C0"/>
              </a:solidFill>
            </a:ln>
          </c:spPr>
          <c:errBars>
            <c:errBarType val="both"/>
            <c:errValType val="cust"/>
            <c:plus>
              <c:numRef>
                <c:f>Sheet2!$I$82:$I$85</c:f>
                <c:numCache>
                  <c:formatCode>General</c:formatCode>
                  <c:ptCount val="4"/>
                  <c:pt idx="0">
                    <c:v>4.0000000000000022E-2</c:v>
                  </c:pt>
                  <c:pt idx="1">
                    <c:v>5.1999999999999998E-2</c:v>
                  </c:pt>
                  <c:pt idx="2">
                    <c:v>3.6999999999999998E-2</c:v>
                  </c:pt>
                  <c:pt idx="3">
                    <c:v>3.1000000000000052E-2</c:v>
                  </c:pt>
                </c:numCache>
              </c:numRef>
            </c:plus>
            <c:minus>
              <c:numRef>
                <c:f>Sheet2!$I$82:$I$85</c:f>
                <c:numCache>
                  <c:formatCode>General</c:formatCode>
                  <c:ptCount val="4"/>
                  <c:pt idx="0">
                    <c:v>4.0000000000000022E-2</c:v>
                  </c:pt>
                  <c:pt idx="1">
                    <c:v>5.1999999999999998E-2</c:v>
                  </c:pt>
                  <c:pt idx="2">
                    <c:v>3.6999999999999998E-2</c:v>
                  </c:pt>
                  <c:pt idx="3">
                    <c:v>3.1000000000000052E-2</c:v>
                  </c:pt>
                </c:numCache>
              </c:numRef>
            </c:minus>
          </c:errBars>
          <c:cat>
            <c:strRef>
              <c:f>Sheet2!$A$82:$A$85</c:f>
              <c:strCache>
                <c:ptCount val="4"/>
                <c:pt idx="0">
                  <c:v>7 j</c:v>
                </c:pt>
                <c:pt idx="1">
                  <c:v>14 j</c:v>
                </c:pt>
                <c:pt idx="2">
                  <c:v>21 j</c:v>
                </c:pt>
                <c:pt idx="3">
                  <c:v>28 j</c:v>
                </c:pt>
              </c:strCache>
            </c:strRef>
          </c:cat>
          <c:val>
            <c:numRef>
              <c:f>Sheet2!$B$82:$B$85</c:f>
              <c:numCache>
                <c:formatCode>General</c:formatCode>
                <c:ptCount val="4"/>
                <c:pt idx="0">
                  <c:v>7.1499999999999995</c:v>
                </c:pt>
                <c:pt idx="1">
                  <c:v>6.71</c:v>
                </c:pt>
                <c:pt idx="2">
                  <c:v>6.29</c:v>
                </c:pt>
                <c:pt idx="3">
                  <c:v>6.08</c:v>
                </c:pt>
              </c:numCache>
            </c:numRef>
          </c:val>
        </c:ser>
        <c:ser>
          <c:idx val="1"/>
          <c:order val="1"/>
          <c:tx>
            <c:strRef>
              <c:f>Sheet2!$C$81</c:f>
              <c:strCache>
                <c:ptCount val="1"/>
                <c:pt idx="0">
                  <c:v>2 (Lactoserum)</c:v>
                </c:pt>
              </c:strCache>
            </c:strRef>
          </c:tx>
          <c:spPr>
            <a:solidFill>
              <a:srgbClr val="FF9900"/>
            </a:solidFill>
            <a:ln>
              <a:solidFill>
                <a:srgbClr val="FF9900"/>
              </a:solidFill>
            </a:ln>
          </c:spPr>
          <c:errBars>
            <c:errBarType val="both"/>
            <c:errValType val="cust"/>
            <c:plus>
              <c:numRef>
                <c:f>Sheet2!$J$82:$J$85</c:f>
                <c:numCache>
                  <c:formatCode>General</c:formatCode>
                  <c:ptCount val="4"/>
                  <c:pt idx="0">
                    <c:v>3.5999999999999997E-2</c:v>
                  </c:pt>
                  <c:pt idx="1">
                    <c:v>3.3000000000000002E-2</c:v>
                  </c:pt>
                  <c:pt idx="2">
                    <c:v>3.1000000000000052E-2</c:v>
                  </c:pt>
                  <c:pt idx="3">
                    <c:v>3.500000000000001E-2</c:v>
                  </c:pt>
                </c:numCache>
              </c:numRef>
            </c:plus>
            <c:minus>
              <c:numRef>
                <c:f>Sheet2!$J$82:$J$85</c:f>
                <c:numCache>
                  <c:formatCode>General</c:formatCode>
                  <c:ptCount val="4"/>
                  <c:pt idx="0">
                    <c:v>3.5999999999999997E-2</c:v>
                  </c:pt>
                  <c:pt idx="1">
                    <c:v>3.3000000000000002E-2</c:v>
                  </c:pt>
                  <c:pt idx="2">
                    <c:v>3.1000000000000052E-2</c:v>
                  </c:pt>
                  <c:pt idx="3">
                    <c:v>3.500000000000001E-2</c:v>
                  </c:pt>
                </c:numCache>
              </c:numRef>
            </c:minus>
          </c:errBars>
          <c:cat>
            <c:strRef>
              <c:f>Sheet2!$A$82:$A$85</c:f>
              <c:strCache>
                <c:ptCount val="4"/>
                <c:pt idx="0">
                  <c:v>7 j</c:v>
                </c:pt>
                <c:pt idx="1">
                  <c:v>14 j</c:v>
                </c:pt>
                <c:pt idx="2">
                  <c:v>21 j</c:v>
                </c:pt>
                <c:pt idx="3">
                  <c:v>28 j</c:v>
                </c:pt>
              </c:strCache>
            </c:strRef>
          </c:cat>
          <c:val>
            <c:numRef>
              <c:f>Sheet2!$C$82:$C$85</c:f>
              <c:numCache>
                <c:formatCode>General</c:formatCode>
                <c:ptCount val="4"/>
                <c:pt idx="0">
                  <c:v>8.99</c:v>
                </c:pt>
                <c:pt idx="1">
                  <c:v>8.81</c:v>
                </c:pt>
                <c:pt idx="2">
                  <c:v>8.2200000000000006</c:v>
                </c:pt>
                <c:pt idx="3">
                  <c:v>7.8199999999999985</c:v>
                </c:pt>
              </c:numCache>
            </c:numRef>
          </c:val>
        </c:ser>
        <c:ser>
          <c:idx val="2"/>
          <c:order val="2"/>
          <c:tx>
            <c:strRef>
              <c:f>Sheet2!$D$81</c:f>
              <c:strCache>
                <c:ptCount val="1"/>
                <c:pt idx="0">
                  <c:v>3 (Promilk)</c:v>
                </c:pt>
              </c:strCache>
            </c:strRef>
          </c:tx>
          <c:spPr>
            <a:solidFill>
              <a:srgbClr val="92D050"/>
            </a:solidFill>
            <a:ln>
              <a:solidFill>
                <a:srgbClr val="92D050"/>
              </a:solidFill>
            </a:ln>
          </c:spPr>
          <c:errBars>
            <c:errBarType val="both"/>
            <c:errValType val="cust"/>
            <c:plus>
              <c:numRef>
                <c:f>Sheet2!$K$82:$K$85</c:f>
                <c:numCache>
                  <c:formatCode>General</c:formatCode>
                  <c:ptCount val="4"/>
                  <c:pt idx="0">
                    <c:v>6.2000000000000034E-2</c:v>
                  </c:pt>
                  <c:pt idx="1">
                    <c:v>2.1000000000000012E-2</c:v>
                  </c:pt>
                  <c:pt idx="2">
                    <c:v>2.9000000000000001E-2</c:v>
                  </c:pt>
                  <c:pt idx="3">
                    <c:v>3.3000000000000002E-2</c:v>
                  </c:pt>
                </c:numCache>
              </c:numRef>
            </c:plus>
            <c:minus>
              <c:numRef>
                <c:f>Sheet2!$K$82:$K$85</c:f>
                <c:numCache>
                  <c:formatCode>General</c:formatCode>
                  <c:ptCount val="4"/>
                  <c:pt idx="0">
                    <c:v>6.2000000000000034E-2</c:v>
                  </c:pt>
                  <c:pt idx="1">
                    <c:v>2.1000000000000012E-2</c:v>
                  </c:pt>
                  <c:pt idx="2">
                    <c:v>2.9000000000000001E-2</c:v>
                  </c:pt>
                  <c:pt idx="3">
                    <c:v>3.3000000000000002E-2</c:v>
                  </c:pt>
                </c:numCache>
              </c:numRef>
            </c:minus>
          </c:errBars>
          <c:cat>
            <c:strRef>
              <c:f>Sheet2!$A$82:$A$85</c:f>
              <c:strCache>
                <c:ptCount val="4"/>
                <c:pt idx="0">
                  <c:v>7 j</c:v>
                </c:pt>
                <c:pt idx="1">
                  <c:v>14 j</c:v>
                </c:pt>
                <c:pt idx="2">
                  <c:v>21 j</c:v>
                </c:pt>
                <c:pt idx="3">
                  <c:v>28 j</c:v>
                </c:pt>
              </c:strCache>
            </c:strRef>
          </c:cat>
          <c:val>
            <c:numRef>
              <c:f>Sheet2!$D$82:$D$85</c:f>
              <c:numCache>
                <c:formatCode>General</c:formatCode>
                <c:ptCount val="4"/>
                <c:pt idx="0">
                  <c:v>7.67</c:v>
                </c:pt>
                <c:pt idx="1">
                  <c:v>7.35</c:v>
                </c:pt>
                <c:pt idx="2">
                  <c:v>6.81</c:v>
                </c:pt>
                <c:pt idx="3">
                  <c:v>6.64</c:v>
                </c:pt>
              </c:numCache>
            </c:numRef>
          </c:val>
        </c:ser>
        <c:ser>
          <c:idx val="3"/>
          <c:order val="3"/>
          <c:tx>
            <c:strRef>
              <c:f>Sheet2!$E$81</c:f>
              <c:strCache>
                <c:ptCount val="1"/>
                <c:pt idx="0">
                  <c:v>4 (H. Caseine)</c:v>
                </c:pt>
              </c:strCache>
            </c:strRef>
          </c:tx>
          <c:spPr>
            <a:solidFill>
              <a:srgbClr val="990099"/>
            </a:solidFill>
            <a:ln>
              <a:solidFill>
                <a:srgbClr val="990099"/>
              </a:solidFill>
            </a:ln>
          </c:spPr>
          <c:errBars>
            <c:errBarType val="both"/>
            <c:errValType val="cust"/>
            <c:plus>
              <c:numRef>
                <c:f>Sheet2!$L$82:$L$85</c:f>
                <c:numCache>
                  <c:formatCode>General</c:formatCode>
                  <c:ptCount val="4"/>
                  <c:pt idx="0">
                    <c:v>2.7000000000000145E-2</c:v>
                  </c:pt>
                  <c:pt idx="1">
                    <c:v>3.4000000000000002E-2</c:v>
                  </c:pt>
                  <c:pt idx="2">
                    <c:v>4.1000000000000002E-2</c:v>
                  </c:pt>
                  <c:pt idx="3">
                    <c:v>4.3999999999999997E-2</c:v>
                  </c:pt>
                </c:numCache>
              </c:numRef>
            </c:plus>
            <c:minus>
              <c:numRef>
                <c:f>Sheet2!$L$82:$L$85</c:f>
                <c:numCache>
                  <c:formatCode>General</c:formatCode>
                  <c:ptCount val="4"/>
                  <c:pt idx="0">
                    <c:v>2.7000000000000145E-2</c:v>
                  </c:pt>
                  <c:pt idx="1">
                    <c:v>3.4000000000000002E-2</c:v>
                  </c:pt>
                  <c:pt idx="2">
                    <c:v>4.1000000000000002E-2</c:v>
                  </c:pt>
                  <c:pt idx="3">
                    <c:v>4.3999999999999997E-2</c:v>
                  </c:pt>
                </c:numCache>
              </c:numRef>
            </c:minus>
          </c:errBars>
          <c:cat>
            <c:strRef>
              <c:f>Sheet2!$A$82:$A$85</c:f>
              <c:strCache>
                <c:ptCount val="4"/>
                <c:pt idx="0">
                  <c:v>7 j</c:v>
                </c:pt>
                <c:pt idx="1">
                  <c:v>14 j</c:v>
                </c:pt>
                <c:pt idx="2">
                  <c:v>21 j</c:v>
                </c:pt>
                <c:pt idx="3">
                  <c:v>28 j</c:v>
                </c:pt>
              </c:strCache>
            </c:strRef>
          </c:cat>
          <c:val>
            <c:numRef>
              <c:f>Sheet2!$E$82:$E$85</c:f>
              <c:numCache>
                <c:formatCode>General</c:formatCode>
                <c:ptCount val="4"/>
                <c:pt idx="0">
                  <c:v>8.07</c:v>
                </c:pt>
                <c:pt idx="1">
                  <c:v>7.87</c:v>
                </c:pt>
                <c:pt idx="2">
                  <c:v>7.48</c:v>
                </c:pt>
                <c:pt idx="3">
                  <c:v>7.1199999999999966</c:v>
                </c:pt>
              </c:numCache>
            </c:numRef>
          </c:val>
        </c:ser>
        <c:ser>
          <c:idx val="4"/>
          <c:order val="4"/>
          <c:tx>
            <c:strRef>
              <c:f>Sheet2!$F$81</c:f>
              <c:strCache>
                <c:ptCount val="1"/>
                <c:pt idx="0">
                  <c:v>5 (H. Proteine)</c:v>
                </c:pt>
              </c:strCache>
            </c:strRef>
          </c:tx>
          <c:spPr>
            <a:solidFill>
              <a:srgbClr val="FF33CC"/>
            </a:solidFill>
            <a:ln>
              <a:solidFill>
                <a:srgbClr val="FF33CC"/>
              </a:solidFill>
            </a:ln>
          </c:spPr>
          <c:errBars>
            <c:errBarType val="both"/>
            <c:errValType val="cust"/>
            <c:plus>
              <c:numRef>
                <c:f>Sheet2!$M$82:$M$85</c:f>
                <c:numCache>
                  <c:formatCode>General</c:formatCode>
                  <c:ptCount val="4"/>
                  <c:pt idx="0">
                    <c:v>2.8000000000000001E-2</c:v>
                  </c:pt>
                  <c:pt idx="1">
                    <c:v>3.4000000000000002E-2</c:v>
                  </c:pt>
                  <c:pt idx="2">
                    <c:v>3.2000000000000042E-2</c:v>
                  </c:pt>
                  <c:pt idx="3">
                    <c:v>3.2000000000000042E-2</c:v>
                  </c:pt>
                </c:numCache>
              </c:numRef>
            </c:plus>
            <c:minus>
              <c:numRef>
                <c:f>Sheet2!$M$82:$M$85</c:f>
                <c:numCache>
                  <c:formatCode>General</c:formatCode>
                  <c:ptCount val="4"/>
                  <c:pt idx="0">
                    <c:v>2.8000000000000001E-2</c:v>
                  </c:pt>
                  <c:pt idx="1">
                    <c:v>3.4000000000000002E-2</c:v>
                  </c:pt>
                  <c:pt idx="2">
                    <c:v>3.2000000000000042E-2</c:v>
                  </c:pt>
                  <c:pt idx="3">
                    <c:v>3.2000000000000042E-2</c:v>
                  </c:pt>
                </c:numCache>
              </c:numRef>
            </c:minus>
          </c:errBars>
          <c:cat>
            <c:strRef>
              <c:f>Sheet2!$A$82:$A$85</c:f>
              <c:strCache>
                <c:ptCount val="4"/>
                <c:pt idx="0">
                  <c:v>7 j</c:v>
                </c:pt>
                <c:pt idx="1">
                  <c:v>14 j</c:v>
                </c:pt>
                <c:pt idx="2">
                  <c:v>21 j</c:v>
                </c:pt>
                <c:pt idx="3">
                  <c:v>28 j</c:v>
                </c:pt>
              </c:strCache>
            </c:strRef>
          </c:cat>
          <c:val>
            <c:numRef>
              <c:f>Sheet2!$F$82:$F$85</c:f>
              <c:numCache>
                <c:formatCode>General</c:formatCode>
                <c:ptCount val="4"/>
                <c:pt idx="0">
                  <c:v>9.33</c:v>
                </c:pt>
                <c:pt idx="1">
                  <c:v>9.16</c:v>
                </c:pt>
                <c:pt idx="2">
                  <c:v>8.75</c:v>
                </c:pt>
                <c:pt idx="3">
                  <c:v>8.2299999999999986</c:v>
                </c:pt>
              </c:numCache>
            </c:numRef>
          </c:val>
        </c:ser>
        <c:axId val="50631040"/>
        <c:axId val="50632960"/>
      </c:barChart>
      <c:catAx>
        <c:axId val="50631040"/>
        <c:scaling>
          <c:orientation val="minMax"/>
        </c:scaling>
        <c:axPos val="b"/>
        <c:title>
          <c:tx>
            <c:rich>
              <a:bodyPr/>
              <a:lstStyle/>
              <a:p>
                <a:pPr>
                  <a:defRPr/>
                </a:pPr>
                <a:r>
                  <a:rPr lang="en-US">
                    <a:latin typeface="Times New Roman" pitchFamily="18" charset="0"/>
                    <a:cs typeface="Times New Roman" pitchFamily="18" charset="0"/>
                  </a:rPr>
                  <a:t>Entreposage à +4°C en jours</a:t>
                </a:r>
              </a:p>
            </c:rich>
          </c:tx>
          <c:layout>
            <c:manualLayout>
              <c:xMode val="edge"/>
              <c:yMode val="edge"/>
              <c:x val="0.31499805323182506"/>
              <c:y val="0.89667953667953992"/>
            </c:manualLayout>
          </c:layout>
        </c:title>
        <c:numFmt formatCode="General" sourceLinked="1"/>
        <c:tickLblPos val="nextTo"/>
        <c:spPr>
          <a:ln>
            <a:solidFill>
              <a:sysClr val="windowText" lastClr="000000"/>
            </a:solidFill>
          </a:ln>
        </c:spPr>
        <c:txPr>
          <a:bodyPr rot="0" vert="horz"/>
          <a:lstStyle/>
          <a:p>
            <a:pPr>
              <a:defRPr b="1"/>
            </a:pPr>
            <a:endParaRPr lang="fr-FR"/>
          </a:p>
        </c:txPr>
        <c:crossAx val="50632960"/>
        <c:crosses val="autoZero"/>
        <c:auto val="1"/>
        <c:lblAlgn val="ctr"/>
        <c:lblOffset val="100"/>
      </c:catAx>
      <c:valAx>
        <c:axId val="50632960"/>
        <c:scaling>
          <c:orientation val="minMax"/>
          <c:max val="9.5"/>
          <c:min val="5.5"/>
        </c:scaling>
        <c:axPos val="l"/>
        <c:title>
          <c:tx>
            <c:rich>
              <a:bodyPr rot="-5400000" vert="horz"/>
              <a:lstStyle/>
              <a:p>
                <a:pPr>
                  <a:defRPr/>
                </a:pPr>
                <a:r>
                  <a:rPr lang="en-US">
                    <a:latin typeface="Times New Roman" pitchFamily="18" charset="0"/>
                    <a:cs typeface="Times New Roman" pitchFamily="18" charset="0"/>
                  </a:rPr>
                  <a:t>log UFC/ml</a:t>
                </a:r>
              </a:p>
            </c:rich>
          </c:tx>
          <c:layout/>
        </c:title>
        <c:numFmt formatCode="General" sourceLinked="1"/>
        <c:tickLblPos val="nextTo"/>
        <c:spPr>
          <a:ln>
            <a:solidFill>
              <a:sysClr val="windowText" lastClr="000000"/>
            </a:solidFill>
          </a:ln>
        </c:spPr>
        <c:txPr>
          <a:bodyPr rot="0" vert="horz"/>
          <a:lstStyle/>
          <a:p>
            <a:pPr>
              <a:defRPr b="1"/>
            </a:pPr>
            <a:endParaRPr lang="fr-FR"/>
          </a:p>
        </c:txPr>
        <c:crossAx val="50631040"/>
        <c:crosses val="autoZero"/>
        <c:crossBetween val="between"/>
        <c:majorUnit val="0.5"/>
      </c:valAx>
    </c:plotArea>
    <c:plotVisOnly val="1"/>
    <c:dispBlanksAs val="gap"/>
  </c:chart>
  <c:spPr>
    <a:ln>
      <a:solidFill>
        <a:schemeClr val="bg1"/>
      </a:solidFill>
    </a:ln>
  </c:spPr>
  <c:externalData r:id="rId1"/>
  <c:userShapes r:id="rId2"/>
</c:chartSpace>
</file>

<file path=word/charts/chart43.xml><?xml version="1.0" encoding="utf-8"?>
<c:chartSpace xmlns:c="http://schemas.openxmlformats.org/drawingml/2006/chart" xmlns:a="http://schemas.openxmlformats.org/drawingml/2006/main" xmlns:r="http://schemas.openxmlformats.org/officeDocument/2006/relationships">
  <c:date1904 val="1"/>
  <c:lang val="fr-FR"/>
  <c:style val="27"/>
  <c:chart>
    <c:title>
      <c:tx>
        <c:rich>
          <a:bodyPr/>
          <a:lstStyle/>
          <a:p>
            <a:pPr>
              <a:defRPr/>
            </a:pPr>
            <a:r>
              <a:rPr lang="fr-FR" b="0">
                <a:latin typeface="Times New Roman" pitchFamily="18" charset="0"/>
                <a:cs typeface="Times New Roman" pitchFamily="18" charset="0"/>
              </a:rPr>
              <a:t>C</a:t>
            </a:r>
          </a:p>
        </c:rich>
      </c:tx>
      <c:layout>
        <c:manualLayout>
          <c:xMode val="edge"/>
          <c:yMode val="edge"/>
          <c:x val="3.5971223021582844E-3"/>
          <c:y val="2.0915032679738592E-2"/>
        </c:manualLayout>
      </c:layout>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22125024694493833"/>
          <c:y val="9.4388142658638249E-2"/>
          <c:w val="0.77874959874620064"/>
          <c:h val="0.69028789048427774"/>
        </c:manualLayout>
      </c:layout>
      <c:barChart>
        <c:barDir val="col"/>
        <c:grouping val="clustered"/>
        <c:ser>
          <c:idx val="0"/>
          <c:order val="0"/>
          <c:tx>
            <c:strRef>
              <c:f>Sheet2!$B$85</c:f>
              <c:strCache>
                <c:ptCount val="1"/>
                <c:pt idx="0">
                  <c:v>1 (Temoin)</c:v>
                </c:pt>
              </c:strCache>
            </c:strRef>
          </c:tx>
          <c:spPr>
            <a:solidFill>
              <a:srgbClr val="0070C0"/>
            </a:solidFill>
            <a:ln>
              <a:solidFill>
                <a:srgbClr val="0070C0"/>
              </a:solidFill>
            </a:ln>
          </c:spPr>
          <c:errBars>
            <c:errBarType val="both"/>
            <c:errValType val="cust"/>
            <c:plus>
              <c:numRef>
                <c:f>Sheet1!$I$37:$I$40</c:f>
                <c:numCache>
                  <c:formatCode>General</c:formatCode>
                  <c:ptCount val="4"/>
                  <c:pt idx="0">
                    <c:v>4.3999999999999997E-2</c:v>
                  </c:pt>
                  <c:pt idx="1">
                    <c:v>1.7000000000000001E-2</c:v>
                  </c:pt>
                  <c:pt idx="2">
                    <c:v>4.2000000000000023E-2</c:v>
                  </c:pt>
                  <c:pt idx="3">
                    <c:v>4.8000000000000001E-2</c:v>
                  </c:pt>
                </c:numCache>
              </c:numRef>
            </c:plus>
            <c:minus>
              <c:numRef>
                <c:f>Sheet1!$I$37:$I$40</c:f>
                <c:numCache>
                  <c:formatCode>General</c:formatCode>
                  <c:ptCount val="4"/>
                  <c:pt idx="0">
                    <c:v>4.3999999999999997E-2</c:v>
                  </c:pt>
                  <c:pt idx="1">
                    <c:v>1.7000000000000001E-2</c:v>
                  </c:pt>
                  <c:pt idx="2">
                    <c:v>4.2000000000000023E-2</c:v>
                  </c:pt>
                  <c:pt idx="3">
                    <c:v>4.8000000000000001E-2</c:v>
                  </c:pt>
                </c:numCache>
              </c:numRef>
            </c:minus>
          </c:errBars>
          <c:cat>
            <c:strRef>
              <c:f>Sheet2!$A$86:$A$89</c:f>
              <c:strCache>
                <c:ptCount val="4"/>
                <c:pt idx="0">
                  <c:v>7 j</c:v>
                </c:pt>
                <c:pt idx="1">
                  <c:v>14 j</c:v>
                </c:pt>
                <c:pt idx="2">
                  <c:v>21 j</c:v>
                </c:pt>
                <c:pt idx="3">
                  <c:v>28 j</c:v>
                </c:pt>
              </c:strCache>
            </c:strRef>
          </c:cat>
          <c:val>
            <c:numRef>
              <c:f>Sheet2!$B$86:$B$89</c:f>
              <c:numCache>
                <c:formatCode>General</c:formatCode>
                <c:ptCount val="4"/>
                <c:pt idx="0">
                  <c:v>6.83</c:v>
                </c:pt>
                <c:pt idx="1">
                  <c:v>6.25</c:v>
                </c:pt>
                <c:pt idx="2">
                  <c:v>5.9</c:v>
                </c:pt>
                <c:pt idx="3">
                  <c:v>5.6199999999999966</c:v>
                </c:pt>
              </c:numCache>
            </c:numRef>
          </c:val>
        </c:ser>
        <c:ser>
          <c:idx val="1"/>
          <c:order val="1"/>
          <c:tx>
            <c:strRef>
              <c:f>Sheet2!$C$85</c:f>
              <c:strCache>
                <c:ptCount val="1"/>
                <c:pt idx="0">
                  <c:v>2 (Lactoserum)</c:v>
                </c:pt>
              </c:strCache>
            </c:strRef>
          </c:tx>
          <c:spPr>
            <a:solidFill>
              <a:srgbClr val="FF9900"/>
            </a:solidFill>
            <a:ln>
              <a:solidFill>
                <a:srgbClr val="FF9900"/>
              </a:solidFill>
            </a:ln>
          </c:spPr>
          <c:errBars>
            <c:errBarType val="both"/>
            <c:errValType val="cust"/>
            <c:plus>
              <c:numRef>
                <c:f>Sheet1!$J$37:$J$40</c:f>
                <c:numCache>
                  <c:formatCode>General</c:formatCode>
                  <c:ptCount val="4"/>
                  <c:pt idx="0">
                    <c:v>3.500000000000001E-2</c:v>
                  </c:pt>
                  <c:pt idx="1">
                    <c:v>3.6999999999999998E-2</c:v>
                  </c:pt>
                  <c:pt idx="2">
                    <c:v>3.6999999999999998E-2</c:v>
                  </c:pt>
                  <c:pt idx="3">
                    <c:v>2.1999999999999999E-2</c:v>
                  </c:pt>
                </c:numCache>
              </c:numRef>
            </c:plus>
            <c:minus>
              <c:numRef>
                <c:f>Sheet1!$J$37:$J$40</c:f>
                <c:numCache>
                  <c:formatCode>General</c:formatCode>
                  <c:ptCount val="4"/>
                  <c:pt idx="0">
                    <c:v>3.500000000000001E-2</c:v>
                  </c:pt>
                  <c:pt idx="1">
                    <c:v>3.6999999999999998E-2</c:v>
                  </c:pt>
                  <c:pt idx="2">
                    <c:v>3.6999999999999998E-2</c:v>
                  </c:pt>
                  <c:pt idx="3">
                    <c:v>2.1999999999999999E-2</c:v>
                  </c:pt>
                </c:numCache>
              </c:numRef>
            </c:minus>
          </c:errBars>
          <c:cat>
            <c:strRef>
              <c:f>Sheet2!$A$86:$A$89</c:f>
              <c:strCache>
                <c:ptCount val="4"/>
                <c:pt idx="0">
                  <c:v>7 j</c:v>
                </c:pt>
                <c:pt idx="1">
                  <c:v>14 j</c:v>
                </c:pt>
                <c:pt idx="2">
                  <c:v>21 j</c:v>
                </c:pt>
                <c:pt idx="3">
                  <c:v>28 j</c:v>
                </c:pt>
              </c:strCache>
            </c:strRef>
          </c:cat>
          <c:val>
            <c:numRef>
              <c:f>Sheet2!$C$86:$C$89</c:f>
              <c:numCache>
                <c:formatCode>General</c:formatCode>
                <c:ptCount val="4"/>
                <c:pt idx="0">
                  <c:v>8.82</c:v>
                </c:pt>
                <c:pt idx="1">
                  <c:v>8.52</c:v>
                </c:pt>
                <c:pt idx="2">
                  <c:v>8.08</c:v>
                </c:pt>
                <c:pt idx="3">
                  <c:v>7.56</c:v>
                </c:pt>
              </c:numCache>
            </c:numRef>
          </c:val>
        </c:ser>
        <c:ser>
          <c:idx val="2"/>
          <c:order val="2"/>
          <c:tx>
            <c:strRef>
              <c:f>Sheet2!$D$85</c:f>
              <c:strCache>
                <c:ptCount val="1"/>
                <c:pt idx="0">
                  <c:v>3 (Promilk)</c:v>
                </c:pt>
              </c:strCache>
            </c:strRef>
          </c:tx>
          <c:spPr>
            <a:solidFill>
              <a:srgbClr val="92D050"/>
            </a:solidFill>
            <a:ln>
              <a:solidFill>
                <a:srgbClr val="92D050"/>
              </a:solidFill>
            </a:ln>
          </c:spPr>
          <c:errBars>
            <c:errBarType val="both"/>
            <c:errValType val="cust"/>
            <c:plus>
              <c:numRef>
                <c:f>Sheet1!$K$37:$K$40</c:f>
                <c:numCache>
                  <c:formatCode>General</c:formatCode>
                  <c:ptCount val="4"/>
                  <c:pt idx="0">
                    <c:v>2.5999999999999999E-2</c:v>
                  </c:pt>
                  <c:pt idx="1">
                    <c:v>5.1000000000000004E-2</c:v>
                  </c:pt>
                  <c:pt idx="2">
                    <c:v>2.5000000000000001E-2</c:v>
                  </c:pt>
                  <c:pt idx="3">
                    <c:v>2.5999999999999999E-2</c:v>
                  </c:pt>
                </c:numCache>
              </c:numRef>
            </c:plus>
            <c:minus>
              <c:numRef>
                <c:f>Sheet1!$K$37:$K$40</c:f>
                <c:numCache>
                  <c:formatCode>General</c:formatCode>
                  <c:ptCount val="4"/>
                  <c:pt idx="0">
                    <c:v>2.5999999999999999E-2</c:v>
                  </c:pt>
                  <c:pt idx="1">
                    <c:v>5.1000000000000004E-2</c:v>
                  </c:pt>
                  <c:pt idx="2">
                    <c:v>2.5000000000000001E-2</c:v>
                  </c:pt>
                  <c:pt idx="3">
                    <c:v>2.5999999999999999E-2</c:v>
                  </c:pt>
                </c:numCache>
              </c:numRef>
            </c:minus>
          </c:errBars>
          <c:cat>
            <c:strRef>
              <c:f>Sheet2!$A$86:$A$89</c:f>
              <c:strCache>
                <c:ptCount val="4"/>
                <c:pt idx="0">
                  <c:v>7 j</c:v>
                </c:pt>
                <c:pt idx="1">
                  <c:v>14 j</c:v>
                </c:pt>
                <c:pt idx="2">
                  <c:v>21 j</c:v>
                </c:pt>
                <c:pt idx="3">
                  <c:v>28 j</c:v>
                </c:pt>
              </c:strCache>
            </c:strRef>
          </c:cat>
          <c:val>
            <c:numRef>
              <c:f>Sheet2!$D$86:$D$89</c:f>
              <c:numCache>
                <c:formatCode>General</c:formatCode>
                <c:ptCount val="4"/>
                <c:pt idx="0">
                  <c:v>6.98</c:v>
                </c:pt>
                <c:pt idx="1">
                  <c:v>6.68</c:v>
                </c:pt>
                <c:pt idx="2">
                  <c:v>6.34</c:v>
                </c:pt>
                <c:pt idx="3">
                  <c:v>6</c:v>
                </c:pt>
              </c:numCache>
            </c:numRef>
          </c:val>
        </c:ser>
        <c:ser>
          <c:idx val="3"/>
          <c:order val="3"/>
          <c:tx>
            <c:strRef>
              <c:f>Sheet2!$E$85</c:f>
              <c:strCache>
                <c:ptCount val="1"/>
                <c:pt idx="0">
                  <c:v>4 (H. Caseine)</c:v>
                </c:pt>
              </c:strCache>
            </c:strRef>
          </c:tx>
          <c:spPr>
            <a:solidFill>
              <a:srgbClr val="990099"/>
            </a:solidFill>
            <a:ln>
              <a:solidFill>
                <a:srgbClr val="990099"/>
              </a:solidFill>
            </a:ln>
          </c:spPr>
          <c:errBars>
            <c:errBarType val="both"/>
            <c:errValType val="cust"/>
            <c:plus>
              <c:numRef>
                <c:f>Sheet1!$L$37:$L$40</c:f>
                <c:numCache>
                  <c:formatCode>General</c:formatCode>
                  <c:ptCount val="4"/>
                  <c:pt idx="0">
                    <c:v>3.3000000000000002E-2</c:v>
                  </c:pt>
                  <c:pt idx="1">
                    <c:v>3.6999999999999998E-2</c:v>
                  </c:pt>
                  <c:pt idx="2">
                    <c:v>3.1000000000000052E-2</c:v>
                  </c:pt>
                  <c:pt idx="3">
                    <c:v>3.0000000000000002E-2</c:v>
                  </c:pt>
                </c:numCache>
              </c:numRef>
            </c:plus>
            <c:minus>
              <c:numRef>
                <c:f>Sheet1!$L$37:$L$40</c:f>
                <c:numCache>
                  <c:formatCode>General</c:formatCode>
                  <c:ptCount val="4"/>
                  <c:pt idx="0">
                    <c:v>3.3000000000000002E-2</c:v>
                  </c:pt>
                  <c:pt idx="1">
                    <c:v>3.6999999999999998E-2</c:v>
                  </c:pt>
                  <c:pt idx="2">
                    <c:v>3.1000000000000052E-2</c:v>
                  </c:pt>
                  <c:pt idx="3">
                    <c:v>3.0000000000000002E-2</c:v>
                  </c:pt>
                </c:numCache>
              </c:numRef>
            </c:minus>
          </c:errBars>
          <c:cat>
            <c:strRef>
              <c:f>Sheet2!$A$86:$A$89</c:f>
              <c:strCache>
                <c:ptCount val="4"/>
                <c:pt idx="0">
                  <c:v>7 j</c:v>
                </c:pt>
                <c:pt idx="1">
                  <c:v>14 j</c:v>
                </c:pt>
                <c:pt idx="2">
                  <c:v>21 j</c:v>
                </c:pt>
                <c:pt idx="3">
                  <c:v>28 j</c:v>
                </c:pt>
              </c:strCache>
            </c:strRef>
          </c:cat>
          <c:val>
            <c:numRef>
              <c:f>Sheet2!$E$86:$E$89</c:f>
              <c:numCache>
                <c:formatCode>General</c:formatCode>
                <c:ptCount val="4"/>
                <c:pt idx="0">
                  <c:v>7.78</c:v>
                </c:pt>
                <c:pt idx="1">
                  <c:v>7.5</c:v>
                </c:pt>
                <c:pt idx="2">
                  <c:v>7.06</c:v>
                </c:pt>
                <c:pt idx="3">
                  <c:v>6.71</c:v>
                </c:pt>
              </c:numCache>
            </c:numRef>
          </c:val>
        </c:ser>
        <c:ser>
          <c:idx val="4"/>
          <c:order val="4"/>
          <c:tx>
            <c:strRef>
              <c:f>Sheet2!$F$85</c:f>
              <c:strCache>
                <c:ptCount val="1"/>
                <c:pt idx="0">
                  <c:v>5 (H. Proteine)</c:v>
                </c:pt>
              </c:strCache>
            </c:strRef>
          </c:tx>
          <c:spPr>
            <a:solidFill>
              <a:srgbClr val="FF33CC"/>
            </a:solidFill>
            <a:ln>
              <a:solidFill>
                <a:srgbClr val="FF33CC"/>
              </a:solidFill>
            </a:ln>
          </c:spPr>
          <c:errBars>
            <c:errBarType val="both"/>
            <c:errValType val="cust"/>
            <c:plus>
              <c:numRef>
                <c:f>Sheet1!$M$37:$M$40</c:f>
                <c:numCache>
                  <c:formatCode>General</c:formatCode>
                  <c:ptCount val="4"/>
                  <c:pt idx="0">
                    <c:v>2.5999999999999999E-2</c:v>
                  </c:pt>
                  <c:pt idx="1">
                    <c:v>2.9000000000000001E-2</c:v>
                  </c:pt>
                  <c:pt idx="2">
                    <c:v>4.2000000000000023E-2</c:v>
                  </c:pt>
                  <c:pt idx="3">
                    <c:v>4.2000000000000023E-2</c:v>
                  </c:pt>
                </c:numCache>
              </c:numRef>
            </c:plus>
            <c:minus>
              <c:numRef>
                <c:f>Sheet1!$M$37:$M$40</c:f>
                <c:numCache>
                  <c:formatCode>General</c:formatCode>
                  <c:ptCount val="4"/>
                  <c:pt idx="0">
                    <c:v>2.5999999999999999E-2</c:v>
                  </c:pt>
                  <c:pt idx="1">
                    <c:v>2.9000000000000001E-2</c:v>
                  </c:pt>
                  <c:pt idx="2">
                    <c:v>4.2000000000000023E-2</c:v>
                  </c:pt>
                  <c:pt idx="3">
                    <c:v>4.2000000000000023E-2</c:v>
                  </c:pt>
                </c:numCache>
              </c:numRef>
            </c:minus>
          </c:errBars>
          <c:cat>
            <c:strRef>
              <c:f>Sheet2!$A$86:$A$89</c:f>
              <c:strCache>
                <c:ptCount val="4"/>
                <c:pt idx="0">
                  <c:v>7 j</c:v>
                </c:pt>
                <c:pt idx="1">
                  <c:v>14 j</c:v>
                </c:pt>
                <c:pt idx="2">
                  <c:v>21 j</c:v>
                </c:pt>
                <c:pt idx="3">
                  <c:v>28 j</c:v>
                </c:pt>
              </c:strCache>
            </c:strRef>
          </c:cat>
          <c:val>
            <c:numRef>
              <c:f>Sheet2!$F$86:$F$89</c:f>
              <c:numCache>
                <c:formatCode>General</c:formatCode>
                <c:ptCount val="4"/>
                <c:pt idx="0">
                  <c:v>8.42</c:v>
                </c:pt>
                <c:pt idx="1">
                  <c:v>8.15</c:v>
                </c:pt>
                <c:pt idx="2">
                  <c:v>8.01</c:v>
                </c:pt>
                <c:pt idx="3">
                  <c:v>7.79</c:v>
                </c:pt>
              </c:numCache>
            </c:numRef>
          </c:val>
        </c:ser>
        <c:axId val="52316800"/>
        <c:axId val="52323072"/>
      </c:barChart>
      <c:catAx>
        <c:axId val="52316800"/>
        <c:scaling>
          <c:orientation val="minMax"/>
        </c:scaling>
        <c:axPos val="b"/>
        <c:title>
          <c:tx>
            <c:rich>
              <a:bodyPr/>
              <a:lstStyle/>
              <a:p>
                <a:pPr>
                  <a:defRPr/>
                </a:pPr>
                <a:r>
                  <a:rPr lang="en-US">
                    <a:latin typeface="Times New Roman" pitchFamily="18" charset="0"/>
                    <a:cs typeface="Times New Roman" pitchFamily="18" charset="0"/>
                  </a:rPr>
                  <a:t>Entreposage à +4°C en jours</a:t>
                </a:r>
              </a:p>
            </c:rich>
          </c:tx>
          <c:layout>
            <c:manualLayout>
              <c:xMode val="edge"/>
              <c:yMode val="edge"/>
              <c:x val="0.29004890575728515"/>
              <c:y val="0.8933712109515739"/>
            </c:manualLayout>
          </c:layout>
        </c:title>
        <c:numFmt formatCode="General" sourceLinked="1"/>
        <c:tickLblPos val="nextTo"/>
        <c:spPr>
          <a:ln>
            <a:solidFill>
              <a:sysClr val="windowText" lastClr="000000"/>
            </a:solidFill>
          </a:ln>
        </c:spPr>
        <c:txPr>
          <a:bodyPr/>
          <a:lstStyle/>
          <a:p>
            <a:pPr>
              <a:defRPr b="1"/>
            </a:pPr>
            <a:endParaRPr lang="fr-FR"/>
          </a:p>
        </c:txPr>
        <c:crossAx val="52323072"/>
        <c:crosses val="autoZero"/>
        <c:auto val="1"/>
        <c:lblAlgn val="ctr"/>
        <c:lblOffset val="100"/>
      </c:catAx>
      <c:valAx>
        <c:axId val="52323072"/>
        <c:scaling>
          <c:orientation val="minMax"/>
          <c:min val="5"/>
        </c:scaling>
        <c:axPos val="l"/>
        <c:title>
          <c:tx>
            <c:rich>
              <a:bodyPr rot="-5400000" vert="horz"/>
              <a:lstStyle/>
              <a:p>
                <a:pPr>
                  <a:defRPr/>
                </a:pPr>
                <a:r>
                  <a:rPr lang="en-US">
                    <a:latin typeface="Times New Roman" pitchFamily="18" charset="0"/>
                    <a:cs typeface="Times New Roman" pitchFamily="18" charset="0"/>
                  </a:rPr>
                  <a:t>log UFC/ml</a:t>
                </a:r>
              </a:p>
            </c:rich>
          </c:tx>
          <c:layout/>
        </c:title>
        <c:numFmt formatCode="General" sourceLinked="1"/>
        <c:tickLblPos val="nextTo"/>
        <c:spPr>
          <a:ln>
            <a:solidFill>
              <a:sysClr val="windowText" lastClr="000000"/>
            </a:solidFill>
          </a:ln>
        </c:spPr>
        <c:txPr>
          <a:bodyPr/>
          <a:lstStyle/>
          <a:p>
            <a:pPr>
              <a:defRPr b="1"/>
            </a:pPr>
            <a:endParaRPr lang="fr-FR"/>
          </a:p>
        </c:txPr>
        <c:crossAx val="52316800"/>
        <c:crosses val="autoZero"/>
        <c:crossBetween val="between"/>
        <c:majorUnit val="0.5"/>
      </c:valAx>
    </c:plotArea>
    <c:plotVisOnly val="1"/>
    <c:dispBlanksAs val="gap"/>
  </c:chart>
  <c:spPr>
    <a:ln>
      <a:solidFill>
        <a:schemeClr val="bg1"/>
      </a:solidFill>
    </a:ln>
  </c:spPr>
  <c:externalData r:id="rId1"/>
  <c:userShapes r:id="rId2"/>
</c:chartSpace>
</file>

<file path=word/charts/chart44.xml><?xml version="1.0" encoding="utf-8"?>
<c:chartSpace xmlns:c="http://schemas.openxmlformats.org/drawingml/2006/chart" xmlns:a="http://schemas.openxmlformats.org/drawingml/2006/main" xmlns:r="http://schemas.openxmlformats.org/officeDocument/2006/relationships">
  <c:date1904 val="1"/>
  <c:lang val="fr-FR"/>
  <c:style val="27"/>
  <c:chart>
    <c:title>
      <c:tx>
        <c:rich>
          <a:bodyPr/>
          <a:lstStyle/>
          <a:p>
            <a:pPr>
              <a:defRPr/>
            </a:pPr>
            <a:r>
              <a:rPr lang="fr-FR" b="0">
                <a:latin typeface="Times New Roman" pitchFamily="18" charset="0"/>
                <a:cs typeface="Times New Roman" pitchFamily="18" charset="0"/>
              </a:rPr>
              <a:t>B</a:t>
            </a:r>
          </a:p>
        </c:rich>
      </c:tx>
      <c:layout>
        <c:manualLayout>
          <c:xMode val="edge"/>
          <c:yMode val="edge"/>
          <c:x val="9.0591512940312881E-4"/>
          <c:y val="1.1988251513516804E-2"/>
        </c:manualLayout>
      </c:layout>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20571429753313994"/>
          <c:y val="0.11292296796233804"/>
          <c:w val="0.79297481431842565"/>
          <c:h val="0.68741782277215357"/>
        </c:manualLayout>
      </c:layout>
      <c:barChart>
        <c:barDir val="col"/>
        <c:grouping val="clustered"/>
        <c:ser>
          <c:idx val="0"/>
          <c:order val="0"/>
          <c:tx>
            <c:strRef>
              <c:f>Sheet2!$B$82</c:f>
              <c:strCache>
                <c:ptCount val="1"/>
                <c:pt idx="0">
                  <c:v>1 (Temoin)</c:v>
                </c:pt>
              </c:strCache>
            </c:strRef>
          </c:tx>
          <c:spPr>
            <a:solidFill>
              <a:srgbClr val="0070C0"/>
            </a:solidFill>
            <a:ln>
              <a:solidFill>
                <a:srgbClr val="0070C0"/>
              </a:solidFill>
            </a:ln>
          </c:spPr>
          <c:errBars>
            <c:errBarType val="both"/>
            <c:errValType val="cust"/>
            <c:plus>
              <c:numRef>
                <c:f>Sheet1!$I$37:$I$40</c:f>
                <c:numCache>
                  <c:formatCode>General</c:formatCode>
                  <c:ptCount val="4"/>
                  <c:pt idx="0">
                    <c:v>2.1000000000000012E-2</c:v>
                  </c:pt>
                  <c:pt idx="1">
                    <c:v>2.1000000000000012E-2</c:v>
                  </c:pt>
                  <c:pt idx="2">
                    <c:v>2.9000000000000001E-2</c:v>
                  </c:pt>
                  <c:pt idx="3">
                    <c:v>3.1000000000000052E-2</c:v>
                  </c:pt>
                </c:numCache>
              </c:numRef>
            </c:plus>
            <c:minus>
              <c:numRef>
                <c:f>Sheet1!$I$37:$I$40</c:f>
                <c:numCache>
                  <c:formatCode>General</c:formatCode>
                  <c:ptCount val="4"/>
                  <c:pt idx="0">
                    <c:v>2.1000000000000012E-2</c:v>
                  </c:pt>
                  <c:pt idx="1">
                    <c:v>2.1000000000000012E-2</c:v>
                  </c:pt>
                  <c:pt idx="2">
                    <c:v>2.9000000000000001E-2</c:v>
                  </c:pt>
                  <c:pt idx="3">
                    <c:v>3.1000000000000052E-2</c:v>
                  </c:pt>
                </c:numCache>
              </c:numRef>
            </c:minus>
          </c:errBars>
          <c:cat>
            <c:strRef>
              <c:f>Sheet2!$A$83:$A$86</c:f>
              <c:strCache>
                <c:ptCount val="4"/>
                <c:pt idx="0">
                  <c:v>7 j</c:v>
                </c:pt>
                <c:pt idx="1">
                  <c:v>14 j</c:v>
                </c:pt>
                <c:pt idx="2">
                  <c:v>21 j</c:v>
                </c:pt>
                <c:pt idx="3">
                  <c:v>28 j</c:v>
                </c:pt>
              </c:strCache>
            </c:strRef>
          </c:cat>
          <c:val>
            <c:numRef>
              <c:f>Sheet2!$B$83:$B$86</c:f>
              <c:numCache>
                <c:formatCode>General</c:formatCode>
                <c:ptCount val="4"/>
                <c:pt idx="0">
                  <c:v>6.2700000000000014</c:v>
                </c:pt>
                <c:pt idx="1">
                  <c:v>5.98</c:v>
                </c:pt>
                <c:pt idx="2">
                  <c:v>5.89</c:v>
                </c:pt>
                <c:pt idx="3">
                  <c:v>5.51</c:v>
                </c:pt>
              </c:numCache>
            </c:numRef>
          </c:val>
        </c:ser>
        <c:ser>
          <c:idx val="1"/>
          <c:order val="1"/>
          <c:tx>
            <c:strRef>
              <c:f>Sheet2!$C$82</c:f>
              <c:strCache>
                <c:ptCount val="1"/>
                <c:pt idx="0">
                  <c:v>2 (Lactoserum)</c:v>
                </c:pt>
              </c:strCache>
            </c:strRef>
          </c:tx>
          <c:spPr>
            <a:solidFill>
              <a:srgbClr val="FF9900"/>
            </a:solidFill>
            <a:ln>
              <a:solidFill>
                <a:srgbClr val="FF9900"/>
              </a:solidFill>
            </a:ln>
          </c:spPr>
          <c:errBars>
            <c:errBarType val="both"/>
            <c:errValType val="cust"/>
            <c:plus>
              <c:numRef>
                <c:f>Sheet1!$J$37:$J$40</c:f>
                <c:numCache>
                  <c:formatCode>General</c:formatCode>
                  <c:ptCount val="4"/>
                  <c:pt idx="0">
                    <c:v>4.0000000000000022E-2</c:v>
                  </c:pt>
                  <c:pt idx="1">
                    <c:v>5.3000000000000012E-2</c:v>
                  </c:pt>
                  <c:pt idx="2">
                    <c:v>1.6000000000000021E-2</c:v>
                  </c:pt>
                  <c:pt idx="3">
                    <c:v>2.5999999999999999E-2</c:v>
                  </c:pt>
                </c:numCache>
              </c:numRef>
            </c:plus>
            <c:minus>
              <c:numRef>
                <c:f>Sheet1!$J$37:$J$40</c:f>
                <c:numCache>
                  <c:formatCode>General</c:formatCode>
                  <c:ptCount val="4"/>
                  <c:pt idx="0">
                    <c:v>4.0000000000000022E-2</c:v>
                  </c:pt>
                  <c:pt idx="1">
                    <c:v>5.3000000000000012E-2</c:v>
                  </c:pt>
                  <c:pt idx="2">
                    <c:v>1.6000000000000021E-2</c:v>
                  </c:pt>
                  <c:pt idx="3">
                    <c:v>2.5999999999999999E-2</c:v>
                  </c:pt>
                </c:numCache>
              </c:numRef>
            </c:minus>
          </c:errBars>
          <c:cat>
            <c:strRef>
              <c:f>Sheet2!$A$83:$A$86</c:f>
              <c:strCache>
                <c:ptCount val="4"/>
                <c:pt idx="0">
                  <c:v>7 j</c:v>
                </c:pt>
                <c:pt idx="1">
                  <c:v>14 j</c:v>
                </c:pt>
                <c:pt idx="2">
                  <c:v>21 j</c:v>
                </c:pt>
                <c:pt idx="3">
                  <c:v>28 j</c:v>
                </c:pt>
              </c:strCache>
            </c:strRef>
          </c:cat>
          <c:val>
            <c:numRef>
              <c:f>Sheet2!$C$83:$C$86</c:f>
              <c:numCache>
                <c:formatCode>General</c:formatCode>
                <c:ptCount val="4"/>
                <c:pt idx="0">
                  <c:v>8.61</c:v>
                </c:pt>
                <c:pt idx="1">
                  <c:v>8.2100000000000009</c:v>
                </c:pt>
                <c:pt idx="2">
                  <c:v>7.91</c:v>
                </c:pt>
                <c:pt idx="3">
                  <c:v>7.49</c:v>
                </c:pt>
              </c:numCache>
            </c:numRef>
          </c:val>
        </c:ser>
        <c:ser>
          <c:idx val="2"/>
          <c:order val="2"/>
          <c:tx>
            <c:strRef>
              <c:f>Sheet2!$D$82</c:f>
              <c:strCache>
                <c:ptCount val="1"/>
                <c:pt idx="0">
                  <c:v>3 (Promilk)</c:v>
                </c:pt>
              </c:strCache>
            </c:strRef>
          </c:tx>
          <c:spPr>
            <a:solidFill>
              <a:srgbClr val="92D050"/>
            </a:solidFill>
            <a:ln>
              <a:solidFill>
                <a:srgbClr val="92D050"/>
              </a:solidFill>
            </a:ln>
          </c:spPr>
          <c:errBars>
            <c:errBarType val="both"/>
            <c:errValType val="cust"/>
            <c:plus>
              <c:numRef>
                <c:f>Sheet1!$K$37:$K$40</c:f>
                <c:numCache>
                  <c:formatCode>General</c:formatCode>
                  <c:ptCount val="4"/>
                  <c:pt idx="0">
                    <c:v>4.0000000000000022E-2</c:v>
                  </c:pt>
                  <c:pt idx="1">
                    <c:v>4.7000000000000014E-2</c:v>
                  </c:pt>
                  <c:pt idx="2">
                    <c:v>1.90000000000001E-2</c:v>
                  </c:pt>
                  <c:pt idx="3">
                    <c:v>1.4999999999999998E-2</c:v>
                  </c:pt>
                </c:numCache>
              </c:numRef>
            </c:plus>
            <c:minus>
              <c:numRef>
                <c:f>Sheet1!$K$37:$K$40</c:f>
                <c:numCache>
                  <c:formatCode>General</c:formatCode>
                  <c:ptCount val="4"/>
                  <c:pt idx="0">
                    <c:v>4.0000000000000022E-2</c:v>
                  </c:pt>
                  <c:pt idx="1">
                    <c:v>4.7000000000000014E-2</c:v>
                  </c:pt>
                  <c:pt idx="2">
                    <c:v>1.90000000000001E-2</c:v>
                  </c:pt>
                  <c:pt idx="3">
                    <c:v>1.4999999999999998E-2</c:v>
                  </c:pt>
                </c:numCache>
              </c:numRef>
            </c:minus>
          </c:errBars>
          <c:cat>
            <c:strRef>
              <c:f>Sheet2!$A$83:$A$86</c:f>
              <c:strCache>
                <c:ptCount val="4"/>
                <c:pt idx="0">
                  <c:v>7 j</c:v>
                </c:pt>
                <c:pt idx="1">
                  <c:v>14 j</c:v>
                </c:pt>
                <c:pt idx="2">
                  <c:v>21 j</c:v>
                </c:pt>
                <c:pt idx="3">
                  <c:v>28 j</c:v>
                </c:pt>
              </c:strCache>
            </c:strRef>
          </c:cat>
          <c:val>
            <c:numRef>
              <c:f>Sheet2!$D$83:$D$86</c:f>
              <c:numCache>
                <c:formatCode>General</c:formatCode>
                <c:ptCount val="4"/>
                <c:pt idx="0">
                  <c:v>7.1199999999999966</c:v>
                </c:pt>
                <c:pt idx="1">
                  <c:v>6.7700000000000014</c:v>
                </c:pt>
                <c:pt idx="2">
                  <c:v>6.4300000000000024</c:v>
                </c:pt>
                <c:pt idx="3">
                  <c:v>6.03</c:v>
                </c:pt>
              </c:numCache>
            </c:numRef>
          </c:val>
        </c:ser>
        <c:ser>
          <c:idx val="3"/>
          <c:order val="3"/>
          <c:tx>
            <c:strRef>
              <c:f>Sheet2!$E$82</c:f>
              <c:strCache>
                <c:ptCount val="1"/>
                <c:pt idx="0">
                  <c:v>4 (H. Caseine)</c:v>
                </c:pt>
              </c:strCache>
            </c:strRef>
          </c:tx>
          <c:spPr>
            <a:solidFill>
              <a:srgbClr val="990099"/>
            </a:solidFill>
            <a:ln>
              <a:solidFill>
                <a:srgbClr val="990099"/>
              </a:solidFill>
            </a:ln>
          </c:spPr>
          <c:errBars>
            <c:errBarType val="both"/>
            <c:errValType val="cust"/>
            <c:plus>
              <c:numRef>
                <c:f>Sheet1!$L$37:$L$40</c:f>
                <c:numCache>
                  <c:formatCode>General</c:formatCode>
                  <c:ptCount val="4"/>
                  <c:pt idx="0">
                    <c:v>4.0000000000000022E-2</c:v>
                  </c:pt>
                  <c:pt idx="1">
                    <c:v>2.5999999999999999E-2</c:v>
                  </c:pt>
                  <c:pt idx="2">
                    <c:v>3.3000000000000002E-2</c:v>
                  </c:pt>
                  <c:pt idx="3">
                    <c:v>3.9000000000000014E-2</c:v>
                  </c:pt>
                </c:numCache>
              </c:numRef>
            </c:plus>
            <c:minus>
              <c:numRef>
                <c:f>Sheet1!$L$37:$L$40</c:f>
                <c:numCache>
                  <c:formatCode>General</c:formatCode>
                  <c:ptCount val="4"/>
                  <c:pt idx="0">
                    <c:v>4.0000000000000022E-2</c:v>
                  </c:pt>
                  <c:pt idx="1">
                    <c:v>2.5999999999999999E-2</c:v>
                  </c:pt>
                  <c:pt idx="2">
                    <c:v>3.3000000000000002E-2</c:v>
                  </c:pt>
                  <c:pt idx="3">
                    <c:v>3.9000000000000014E-2</c:v>
                  </c:pt>
                </c:numCache>
              </c:numRef>
            </c:minus>
          </c:errBars>
          <c:cat>
            <c:strRef>
              <c:f>Sheet2!$A$83:$A$86</c:f>
              <c:strCache>
                <c:ptCount val="4"/>
                <c:pt idx="0">
                  <c:v>7 j</c:v>
                </c:pt>
                <c:pt idx="1">
                  <c:v>14 j</c:v>
                </c:pt>
                <c:pt idx="2">
                  <c:v>21 j</c:v>
                </c:pt>
                <c:pt idx="3">
                  <c:v>28 j</c:v>
                </c:pt>
              </c:strCache>
            </c:strRef>
          </c:cat>
          <c:val>
            <c:numRef>
              <c:f>Sheet2!$E$83:$E$86</c:f>
              <c:numCache>
                <c:formatCode>General</c:formatCode>
                <c:ptCount val="4"/>
                <c:pt idx="0">
                  <c:v>7.7700000000000014</c:v>
                </c:pt>
                <c:pt idx="1">
                  <c:v>7.39</c:v>
                </c:pt>
                <c:pt idx="2">
                  <c:v>6.9700000000000024</c:v>
                </c:pt>
                <c:pt idx="3">
                  <c:v>6.63</c:v>
                </c:pt>
              </c:numCache>
            </c:numRef>
          </c:val>
        </c:ser>
        <c:ser>
          <c:idx val="4"/>
          <c:order val="4"/>
          <c:tx>
            <c:strRef>
              <c:f>Sheet2!$F$82</c:f>
              <c:strCache>
                <c:ptCount val="1"/>
                <c:pt idx="0">
                  <c:v>5 (H. Proteine)</c:v>
                </c:pt>
              </c:strCache>
            </c:strRef>
          </c:tx>
          <c:spPr>
            <a:solidFill>
              <a:srgbClr val="FF33CC"/>
            </a:solidFill>
            <a:ln>
              <a:solidFill>
                <a:srgbClr val="FF33CC"/>
              </a:solidFill>
            </a:ln>
          </c:spPr>
          <c:errBars>
            <c:errBarType val="both"/>
            <c:errValType val="cust"/>
            <c:plus>
              <c:numRef>
                <c:f>Sheet1!$M$37:$M$40</c:f>
                <c:numCache>
                  <c:formatCode>General</c:formatCode>
                  <c:ptCount val="4"/>
                  <c:pt idx="0">
                    <c:v>2.5999999999999999E-2</c:v>
                  </c:pt>
                  <c:pt idx="1">
                    <c:v>3.3000000000000002E-2</c:v>
                  </c:pt>
                  <c:pt idx="2">
                    <c:v>6.3E-2</c:v>
                  </c:pt>
                  <c:pt idx="3">
                    <c:v>4.3000000000000003E-2</c:v>
                  </c:pt>
                </c:numCache>
              </c:numRef>
            </c:plus>
            <c:minus>
              <c:numRef>
                <c:f>Sheet1!$M$37:$M$40</c:f>
                <c:numCache>
                  <c:formatCode>General</c:formatCode>
                  <c:ptCount val="4"/>
                  <c:pt idx="0">
                    <c:v>2.5999999999999999E-2</c:v>
                  </c:pt>
                  <c:pt idx="1">
                    <c:v>3.3000000000000002E-2</c:v>
                  </c:pt>
                  <c:pt idx="2">
                    <c:v>6.3E-2</c:v>
                  </c:pt>
                  <c:pt idx="3">
                    <c:v>4.3000000000000003E-2</c:v>
                  </c:pt>
                </c:numCache>
              </c:numRef>
            </c:minus>
          </c:errBars>
          <c:cat>
            <c:strRef>
              <c:f>Sheet2!$A$83:$A$86</c:f>
              <c:strCache>
                <c:ptCount val="4"/>
                <c:pt idx="0">
                  <c:v>7 j</c:v>
                </c:pt>
                <c:pt idx="1">
                  <c:v>14 j</c:v>
                </c:pt>
                <c:pt idx="2">
                  <c:v>21 j</c:v>
                </c:pt>
                <c:pt idx="3">
                  <c:v>28 j</c:v>
                </c:pt>
              </c:strCache>
            </c:strRef>
          </c:cat>
          <c:val>
            <c:numRef>
              <c:f>Sheet2!$F$83:$F$86</c:f>
              <c:numCache>
                <c:formatCode>General</c:formatCode>
                <c:ptCount val="4"/>
                <c:pt idx="0">
                  <c:v>8.3600000000000048</c:v>
                </c:pt>
                <c:pt idx="1">
                  <c:v>7.89</c:v>
                </c:pt>
                <c:pt idx="2">
                  <c:v>7.56</c:v>
                </c:pt>
                <c:pt idx="3">
                  <c:v>7.24</c:v>
                </c:pt>
              </c:numCache>
            </c:numRef>
          </c:val>
        </c:ser>
        <c:axId val="52360704"/>
        <c:axId val="52362624"/>
      </c:barChart>
      <c:catAx>
        <c:axId val="52360704"/>
        <c:scaling>
          <c:orientation val="minMax"/>
        </c:scaling>
        <c:axPos val="b"/>
        <c:title>
          <c:tx>
            <c:rich>
              <a:bodyPr/>
              <a:lstStyle/>
              <a:p>
                <a:pPr>
                  <a:defRPr/>
                </a:pPr>
                <a:r>
                  <a:rPr lang="fr-FR">
                    <a:latin typeface="Times New Roman" pitchFamily="18" charset="0"/>
                    <a:cs typeface="Times New Roman" pitchFamily="18" charset="0"/>
                  </a:rPr>
                  <a:t>Entreposage à +4°C en jours</a:t>
                </a:r>
              </a:p>
            </c:rich>
          </c:tx>
          <c:layout>
            <c:manualLayout>
              <c:xMode val="edge"/>
              <c:yMode val="edge"/>
              <c:x val="0.27099537996347139"/>
              <c:y val="0.91410102747395494"/>
            </c:manualLayout>
          </c:layout>
        </c:title>
        <c:numFmt formatCode="General" sourceLinked="1"/>
        <c:tickLblPos val="nextTo"/>
        <c:spPr>
          <a:ln>
            <a:solidFill>
              <a:sysClr val="windowText" lastClr="000000"/>
            </a:solidFill>
          </a:ln>
        </c:spPr>
        <c:txPr>
          <a:bodyPr rot="0" vert="horz"/>
          <a:lstStyle/>
          <a:p>
            <a:pPr>
              <a:defRPr b="1"/>
            </a:pPr>
            <a:endParaRPr lang="fr-FR"/>
          </a:p>
        </c:txPr>
        <c:crossAx val="52362624"/>
        <c:crosses val="autoZero"/>
        <c:auto val="1"/>
        <c:lblAlgn val="ctr"/>
        <c:lblOffset val="100"/>
      </c:catAx>
      <c:valAx>
        <c:axId val="52362624"/>
        <c:scaling>
          <c:orientation val="minMax"/>
          <c:min val="5"/>
        </c:scaling>
        <c:axPos val="l"/>
        <c:title>
          <c:tx>
            <c:rich>
              <a:bodyPr/>
              <a:lstStyle/>
              <a:p>
                <a:pPr>
                  <a:defRPr/>
                </a:pPr>
                <a:r>
                  <a:rPr lang="fr-FR">
                    <a:latin typeface="Times New Roman" pitchFamily="18" charset="0"/>
                    <a:cs typeface="Times New Roman" pitchFamily="18" charset="0"/>
                  </a:rPr>
                  <a:t>log UFC/ml</a:t>
                </a:r>
              </a:p>
            </c:rich>
          </c:tx>
          <c:layout/>
        </c:title>
        <c:numFmt formatCode="General" sourceLinked="1"/>
        <c:tickLblPos val="nextTo"/>
        <c:spPr>
          <a:ln>
            <a:solidFill>
              <a:sysClr val="windowText" lastClr="000000"/>
            </a:solidFill>
          </a:ln>
        </c:spPr>
        <c:txPr>
          <a:bodyPr rot="0" vert="horz"/>
          <a:lstStyle/>
          <a:p>
            <a:pPr>
              <a:defRPr b="1"/>
            </a:pPr>
            <a:endParaRPr lang="fr-FR"/>
          </a:p>
        </c:txPr>
        <c:crossAx val="52360704"/>
        <c:crosses val="autoZero"/>
        <c:crossBetween val="between"/>
        <c:majorUnit val="0.5"/>
      </c:valAx>
    </c:plotArea>
    <c:plotVisOnly val="1"/>
    <c:dispBlanksAs val="gap"/>
  </c:chart>
  <c:spPr>
    <a:ln>
      <a:solidFill>
        <a:schemeClr val="bg1"/>
      </a:solidFill>
    </a:ln>
  </c:spPr>
  <c:externalData r:id="rId1"/>
  <c:userShapes r:id="rId2"/>
</c:chartSpace>
</file>

<file path=word/charts/chart45.xml><?xml version="1.0" encoding="utf-8"?>
<c:chartSpace xmlns:c="http://schemas.openxmlformats.org/drawingml/2006/chart" xmlns:a="http://schemas.openxmlformats.org/drawingml/2006/main" xmlns:r="http://schemas.openxmlformats.org/officeDocument/2006/relationships">
  <c:date1904 val="1"/>
  <c:lang val="fr-FR"/>
  <c:style val="27"/>
  <c:chart>
    <c:title>
      <c:tx>
        <c:rich>
          <a:bodyPr/>
          <a:lstStyle/>
          <a:p>
            <a:pPr>
              <a:defRPr/>
            </a:pPr>
            <a:r>
              <a:rPr lang="fr-FR" b="0">
                <a:latin typeface="Times New Roman" pitchFamily="18" charset="0"/>
                <a:cs typeface="Times New Roman" pitchFamily="18" charset="0"/>
              </a:rPr>
              <a:t>A</a:t>
            </a:r>
          </a:p>
        </c:rich>
      </c:tx>
      <c:layout>
        <c:manualLayout>
          <c:xMode val="edge"/>
          <c:yMode val="edge"/>
          <c:x val="1.8048646446270121E-3"/>
          <c:y val="0"/>
        </c:manualLayout>
      </c:layout>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21352018723291374"/>
          <c:y val="0.12343915343915364"/>
          <c:w val="0.78632181926164335"/>
          <c:h val="0.68800120415055765"/>
        </c:manualLayout>
      </c:layout>
      <c:barChart>
        <c:barDir val="col"/>
        <c:grouping val="clustered"/>
        <c:ser>
          <c:idx val="0"/>
          <c:order val="0"/>
          <c:tx>
            <c:strRef>
              <c:f>Sheet2!$B$84</c:f>
              <c:strCache>
                <c:ptCount val="1"/>
                <c:pt idx="0">
                  <c:v>1 (Temoin)</c:v>
                </c:pt>
              </c:strCache>
            </c:strRef>
          </c:tx>
          <c:spPr>
            <a:solidFill>
              <a:srgbClr val="0070C0"/>
            </a:solidFill>
            <a:ln>
              <a:solidFill>
                <a:srgbClr val="0070C0"/>
              </a:solidFill>
            </a:ln>
          </c:spPr>
          <c:errBars>
            <c:errBarType val="both"/>
            <c:errValType val="cust"/>
            <c:plus>
              <c:numRef>
                <c:f>Sheet1!$I$45:$I$48</c:f>
                <c:numCache>
                  <c:formatCode>General</c:formatCode>
                  <c:ptCount val="4"/>
                  <c:pt idx="0">
                    <c:v>5.3000000000000012E-2</c:v>
                  </c:pt>
                  <c:pt idx="1">
                    <c:v>3.5999999999999997E-2</c:v>
                  </c:pt>
                  <c:pt idx="2">
                    <c:v>1.6000000000000021E-2</c:v>
                  </c:pt>
                  <c:pt idx="3">
                    <c:v>2.4E-2</c:v>
                  </c:pt>
                </c:numCache>
              </c:numRef>
            </c:plus>
            <c:minus>
              <c:numRef>
                <c:f>Sheet1!$I$45:$I$48</c:f>
                <c:numCache>
                  <c:formatCode>General</c:formatCode>
                  <c:ptCount val="4"/>
                  <c:pt idx="0">
                    <c:v>5.3000000000000012E-2</c:v>
                  </c:pt>
                  <c:pt idx="1">
                    <c:v>3.5999999999999997E-2</c:v>
                  </c:pt>
                  <c:pt idx="2">
                    <c:v>1.6000000000000021E-2</c:v>
                  </c:pt>
                  <c:pt idx="3">
                    <c:v>2.4E-2</c:v>
                  </c:pt>
                </c:numCache>
              </c:numRef>
            </c:minus>
          </c:errBars>
          <c:cat>
            <c:strRef>
              <c:f>Sheet2!$A$85:$A$88</c:f>
              <c:strCache>
                <c:ptCount val="4"/>
                <c:pt idx="0">
                  <c:v>7 j</c:v>
                </c:pt>
                <c:pt idx="1">
                  <c:v>14 j</c:v>
                </c:pt>
                <c:pt idx="2">
                  <c:v>21 j</c:v>
                </c:pt>
                <c:pt idx="3">
                  <c:v>28 j</c:v>
                </c:pt>
              </c:strCache>
            </c:strRef>
          </c:cat>
          <c:val>
            <c:numRef>
              <c:f>Sheet2!$B$85:$B$88</c:f>
              <c:numCache>
                <c:formatCode>General</c:formatCode>
                <c:ptCount val="4"/>
                <c:pt idx="0">
                  <c:v>6.5</c:v>
                </c:pt>
                <c:pt idx="1">
                  <c:v>6.08</c:v>
                </c:pt>
                <c:pt idx="2">
                  <c:v>5.8599999999999985</c:v>
                </c:pt>
                <c:pt idx="3">
                  <c:v>5.53</c:v>
                </c:pt>
              </c:numCache>
            </c:numRef>
          </c:val>
        </c:ser>
        <c:ser>
          <c:idx val="1"/>
          <c:order val="1"/>
          <c:tx>
            <c:strRef>
              <c:f>Sheet2!$C$84</c:f>
              <c:strCache>
                <c:ptCount val="1"/>
                <c:pt idx="0">
                  <c:v>2 (Lactoserum)</c:v>
                </c:pt>
              </c:strCache>
            </c:strRef>
          </c:tx>
          <c:spPr>
            <a:solidFill>
              <a:srgbClr val="FF9900"/>
            </a:solidFill>
            <a:ln>
              <a:solidFill>
                <a:srgbClr val="FF9900"/>
              </a:solidFill>
            </a:ln>
          </c:spPr>
          <c:errBars>
            <c:errBarType val="both"/>
            <c:errValType val="cust"/>
            <c:plus>
              <c:numRef>
                <c:f>Sheet1!$J$45:$J$48</c:f>
                <c:numCache>
                  <c:formatCode>General</c:formatCode>
                  <c:ptCount val="4"/>
                  <c:pt idx="0">
                    <c:v>3.7999999999999999E-2</c:v>
                  </c:pt>
                  <c:pt idx="1">
                    <c:v>4.3000000000000003E-2</c:v>
                  </c:pt>
                  <c:pt idx="2">
                    <c:v>3.7999999999999999E-2</c:v>
                  </c:pt>
                  <c:pt idx="3">
                    <c:v>3.1000000000000052E-2</c:v>
                  </c:pt>
                </c:numCache>
              </c:numRef>
            </c:plus>
            <c:minus>
              <c:numRef>
                <c:f>Sheet1!$J$45:$J$48</c:f>
                <c:numCache>
                  <c:formatCode>General</c:formatCode>
                  <c:ptCount val="4"/>
                  <c:pt idx="0">
                    <c:v>3.7999999999999999E-2</c:v>
                  </c:pt>
                  <c:pt idx="1">
                    <c:v>4.3000000000000003E-2</c:v>
                  </c:pt>
                  <c:pt idx="2">
                    <c:v>3.7999999999999999E-2</c:v>
                  </c:pt>
                  <c:pt idx="3">
                    <c:v>3.1000000000000052E-2</c:v>
                  </c:pt>
                </c:numCache>
              </c:numRef>
            </c:minus>
          </c:errBars>
          <c:cat>
            <c:strRef>
              <c:f>Sheet2!$A$85:$A$88</c:f>
              <c:strCache>
                <c:ptCount val="4"/>
                <c:pt idx="0">
                  <c:v>7 j</c:v>
                </c:pt>
                <c:pt idx="1">
                  <c:v>14 j</c:v>
                </c:pt>
                <c:pt idx="2">
                  <c:v>21 j</c:v>
                </c:pt>
                <c:pt idx="3">
                  <c:v>28 j</c:v>
                </c:pt>
              </c:strCache>
            </c:strRef>
          </c:cat>
          <c:val>
            <c:numRef>
              <c:f>Sheet2!$C$85:$C$88</c:f>
              <c:numCache>
                <c:formatCode>General</c:formatCode>
                <c:ptCount val="4"/>
                <c:pt idx="0">
                  <c:v>8.82</c:v>
                </c:pt>
                <c:pt idx="1">
                  <c:v>8.5400000000000009</c:v>
                </c:pt>
                <c:pt idx="2">
                  <c:v>8.07</c:v>
                </c:pt>
                <c:pt idx="3">
                  <c:v>7.63</c:v>
                </c:pt>
              </c:numCache>
            </c:numRef>
          </c:val>
        </c:ser>
        <c:ser>
          <c:idx val="2"/>
          <c:order val="2"/>
          <c:tx>
            <c:strRef>
              <c:f>Sheet2!$D$84</c:f>
              <c:strCache>
                <c:ptCount val="1"/>
                <c:pt idx="0">
                  <c:v>3 (Promilk)</c:v>
                </c:pt>
              </c:strCache>
            </c:strRef>
          </c:tx>
          <c:spPr>
            <a:solidFill>
              <a:srgbClr val="92D050"/>
            </a:solidFill>
            <a:ln>
              <a:solidFill>
                <a:srgbClr val="92D050"/>
              </a:solidFill>
            </a:ln>
          </c:spPr>
          <c:errBars>
            <c:errBarType val="both"/>
            <c:errValType val="cust"/>
            <c:plus>
              <c:numRef>
                <c:f>Sheet1!$K$45:$K$48</c:f>
                <c:numCache>
                  <c:formatCode>General</c:formatCode>
                  <c:ptCount val="4"/>
                  <c:pt idx="0">
                    <c:v>2.5999999999999999E-2</c:v>
                  </c:pt>
                  <c:pt idx="1">
                    <c:v>3.2000000000000042E-2</c:v>
                  </c:pt>
                  <c:pt idx="2">
                    <c:v>2.8000000000000001E-2</c:v>
                  </c:pt>
                  <c:pt idx="3">
                    <c:v>2.3E-2</c:v>
                  </c:pt>
                </c:numCache>
              </c:numRef>
            </c:plus>
            <c:minus>
              <c:numRef>
                <c:f>Sheet1!$K$45:$K$48</c:f>
                <c:numCache>
                  <c:formatCode>General</c:formatCode>
                  <c:ptCount val="4"/>
                  <c:pt idx="0">
                    <c:v>2.5999999999999999E-2</c:v>
                  </c:pt>
                  <c:pt idx="1">
                    <c:v>3.2000000000000042E-2</c:v>
                  </c:pt>
                  <c:pt idx="2">
                    <c:v>2.8000000000000001E-2</c:v>
                  </c:pt>
                  <c:pt idx="3">
                    <c:v>2.3E-2</c:v>
                  </c:pt>
                </c:numCache>
              </c:numRef>
            </c:minus>
          </c:errBars>
          <c:cat>
            <c:strRef>
              <c:f>Sheet2!$A$85:$A$88</c:f>
              <c:strCache>
                <c:ptCount val="4"/>
                <c:pt idx="0">
                  <c:v>7 j</c:v>
                </c:pt>
                <c:pt idx="1">
                  <c:v>14 j</c:v>
                </c:pt>
                <c:pt idx="2">
                  <c:v>21 j</c:v>
                </c:pt>
                <c:pt idx="3">
                  <c:v>28 j</c:v>
                </c:pt>
              </c:strCache>
            </c:strRef>
          </c:cat>
          <c:val>
            <c:numRef>
              <c:f>Sheet2!$D$85:$D$88</c:f>
              <c:numCache>
                <c:formatCode>General</c:formatCode>
                <c:ptCount val="4"/>
                <c:pt idx="0">
                  <c:v>7.78</c:v>
                </c:pt>
                <c:pt idx="1">
                  <c:v>7.37</c:v>
                </c:pt>
                <c:pt idx="2">
                  <c:v>6.9300000000000024</c:v>
                </c:pt>
                <c:pt idx="3">
                  <c:v>6.52</c:v>
                </c:pt>
              </c:numCache>
            </c:numRef>
          </c:val>
        </c:ser>
        <c:ser>
          <c:idx val="3"/>
          <c:order val="3"/>
          <c:tx>
            <c:strRef>
              <c:f>Sheet2!$E$84</c:f>
              <c:strCache>
                <c:ptCount val="1"/>
                <c:pt idx="0">
                  <c:v>4 (H. Caseine)</c:v>
                </c:pt>
              </c:strCache>
            </c:strRef>
          </c:tx>
          <c:spPr>
            <a:solidFill>
              <a:srgbClr val="990099"/>
            </a:solidFill>
            <a:ln>
              <a:solidFill>
                <a:srgbClr val="990099"/>
              </a:solidFill>
            </a:ln>
          </c:spPr>
          <c:errBars>
            <c:errBarType val="both"/>
            <c:errValType val="cust"/>
            <c:plus>
              <c:numRef>
                <c:f>Sheet1!$L$37:$L$40</c:f>
                <c:numCache>
                  <c:formatCode>General</c:formatCode>
                  <c:ptCount val="4"/>
                  <c:pt idx="0">
                    <c:v>2.9000000000000001E-2</c:v>
                  </c:pt>
                  <c:pt idx="1">
                    <c:v>0.05</c:v>
                  </c:pt>
                  <c:pt idx="2">
                    <c:v>5.5000000000000014E-2</c:v>
                  </c:pt>
                  <c:pt idx="3">
                    <c:v>3.500000000000001E-2</c:v>
                  </c:pt>
                </c:numCache>
              </c:numRef>
            </c:plus>
            <c:minus>
              <c:numRef>
                <c:f>Sheet1!$L$37:$L$40</c:f>
                <c:numCache>
                  <c:formatCode>General</c:formatCode>
                  <c:ptCount val="4"/>
                  <c:pt idx="0">
                    <c:v>2.9000000000000001E-2</c:v>
                  </c:pt>
                  <c:pt idx="1">
                    <c:v>0.05</c:v>
                  </c:pt>
                  <c:pt idx="2">
                    <c:v>5.5000000000000014E-2</c:v>
                  </c:pt>
                  <c:pt idx="3">
                    <c:v>3.500000000000001E-2</c:v>
                  </c:pt>
                </c:numCache>
              </c:numRef>
            </c:minus>
          </c:errBars>
          <c:cat>
            <c:strRef>
              <c:f>Sheet2!$A$85:$A$88</c:f>
              <c:strCache>
                <c:ptCount val="4"/>
                <c:pt idx="0">
                  <c:v>7 j</c:v>
                </c:pt>
                <c:pt idx="1">
                  <c:v>14 j</c:v>
                </c:pt>
                <c:pt idx="2">
                  <c:v>21 j</c:v>
                </c:pt>
                <c:pt idx="3">
                  <c:v>28 j</c:v>
                </c:pt>
              </c:strCache>
            </c:strRef>
          </c:cat>
          <c:val>
            <c:numRef>
              <c:f>Sheet2!$E$85:$E$88</c:f>
              <c:numCache>
                <c:formatCode>General</c:formatCode>
                <c:ptCount val="4"/>
                <c:pt idx="0">
                  <c:v>8.25</c:v>
                </c:pt>
                <c:pt idx="1">
                  <c:v>7.8599999999999985</c:v>
                </c:pt>
                <c:pt idx="2">
                  <c:v>7.57</c:v>
                </c:pt>
                <c:pt idx="3">
                  <c:v>7.1099999999999985</c:v>
                </c:pt>
              </c:numCache>
            </c:numRef>
          </c:val>
        </c:ser>
        <c:ser>
          <c:idx val="4"/>
          <c:order val="4"/>
          <c:tx>
            <c:strRef>
              <c:f>Sheet2!$F$84</c:f>
              <c:strCache>
                <c:ptCount val="1"/>
                <c:pt idx="0">
                  <c:v>5 (H. Proteine)</c:v>
                </c:pt>
              </c:strCache>
            </c:strRef>
          </c:tx>
          <c:spPr>
            <a:solidFill>
              <a:srgbClr val="FF33CC"/>
            </a:solidFill>
            <a:ln>
              <a:solidFill>
                <a:srgbClr val="FF33CC"/>
              </a:solidFill>
            </a:ln>
          </c:spPr>
          <c:errBars>
            <c:errBarType val="both"/>
            <c:errValType val="cust"/>
            <c:plus>
              <c:numRef>
                <c:f>Sheet1!$M$37:$M$40</c:f>
                <c:numCache>
                  <c:formatCode>General</c:formatCode>
                  <c:ptCount val="4"/>
                  <c:pt idx="0">
                    <c:v>4.3999999999999997E-2</c:v>
                  </c:pt>
                  <c:pt idx="1">
                    <c:v>3.0000000000000002E-2</c:v>
                  </c:pt>
                  <c:pt idx="2">
                    <c:v>2.8000000000000001E-2</c:v>
                  </c:pt>
                  <c:pt idx="3">
                    <c:v>2.7000000000000145E-2</c:v>
                  </c:pt>
                </c:numCache>
              </c:numRef>
            </c:plus>
            <c:minus>
              <c:numRef>
                <c:f>Sheet1!$M$37:$M$40</c:f>
                <c:numCache>
                  <c:formatCode>General</c:formatCode>
                  <c:ptCount val="4"/>
                  <c:pt idx="0">
                    <c:v>4.3999999999999997E-2</c:v>
                  </c:pt>
                  <c:pt idx="1">
                    <c:v>3.0000000000000002E-2</c:v>
                  </c:pt>
                  <c:pt idx="2">
                    <c:v>2.8000000000000001E-2</c:v>
                  </c:pt>
                  <c:pt idx="3">
                    <c:v>2.7000000000000145E-2</c:v>
                  </c:pt>
                </c:numCache>
              </c:numRef>
            </c:minus>
          </c:errBars>
          <c:cat>
            <c:strRef>
              <c:f>Sheet2!$A$85:$A$88</c:f>
              <c:strCache>
                <c:ptCount val="4"/>
                <c:pt idx="0">
                  <c:v>7 j</c:v>
                </c:pt>
                <c:pt idx="1">
                  <c:v>14 j</c:v>
                </c:pt>
                <c:pt idx="2">
                  <c:v>21 j</c:v>
                </c:pt>
                <c:pt idx="3">
                  <c:v>28 j</c:v>
                </c:pt>
              </c:strCache>
            </c:strRef>
          </c:cat>
          <c:val>
            <c:numRef>
              <c:f>Sheet2!$F$85:$F$88</c:f>
              <c:numCache>
                <c:formatCode>General</c:formatCode>
                <c:ptCount val="4"/>
                <c:pt idx="0">
                  <c:v>9.2000000000000011</c:v>
                </c:pt>
                <c:pt idx="1">
                  <c:v>8.82</c:v>
                </c:pt>
                <c:pt idx="2">
                  <c:v>8.3500000000000068</c:v>
                </c:pt>
                <c:pt idx="3">
                  <c:v>7.92</c:v>
                </c:pt>
              </c:numCache>
            </c:numRef>
          </c:val>
        </c:ser>
        <c:axId val="52572544"/>
        <c:axId val="52574464"/>
      </c:barChart>
      <c:catAx>
        <c:axId val="52572544"/>
        <c:scaling>
          <c:orientation val="minMax"/>
        </c:scaling>
        <c:axPos val="b"/>
        <c:title>
          <c:tx>
            <c:rich>
              <a:bodyPr/>
              <a:lstStyle/>
              <a:p>
                <a:pPr>
                  <a:defRPr/>
                </a:pPr>
                <a:r>
                  <a:rPr lang="en-US">
                    <a:latin typeface="Times New Roman" pitchFamily="18" charset="0"/>
                    <a:cs typeface="Times New Roman" pitchFamily="18" charset="0"/>
                  </a:rPr>
                  <a:t>Entreposage à +4°C en jours</a:t>
                </a:r>
              </a:p>
            </c:rich>
          </c:tx>
          <c:layout>
            <c:manualLayout>
              <c:xMode val="edge"/>
              <c:yMode val="edge"/>
              <c:x val="0.28172960131808505"/>
              <c:y val="0.92962831258996281"/>
            </c:manualLayout>
          </c:layout>
        </c:title>
        <c:numFmt formatCode="General" sourceLinked="1"/>
        <c:tickLblPos val="nextTo"/>
        <c:spPr>
          <a:ln>
            <a:solidFill>
              <a:sysClr val="windowText" lastClr="000000"/>
            </a:solidFill>
          </a:ln>
        </c:spPr>
        <c:txPr>
          <a:bodyPr/>
          <a:lstStyle/>
          <a:p>
            <a:pPr>
              <a:defRPr b="1"/>
            </a:pPr>
            <a:endParaRPr lang="fr-FR"/>
          </a:p>
        </c:txPr>
        <c:crossAx val="52574464"/>
        <c:crosses val="autoZero"/>
        <c:auto val="1"/>
        <c:lblAlgn val="ctr"/>
        <c:lblOffset val="100"/>
      </c:catAx>
      <c:valAx>
        <c:axId val="52574464"/>
        <c:scaling>
          <c:orientation val="minMax"/>
          <c:max val="9.5"/>
          <c:min val="5"/>
        </c:scaling>
        <c:axPos val="l"/>
        <c:title>
          <c:tx>
            <c:rich>
              <a:bodyPr rot="-5400000" vert="horz"/>
              <a:lstStyle/>
              <a:p>
                <a:pPr>
                  <a:defRPr/>
                </a:pPr>
                <a:r>
                  <a:rPr lang="en-US">
                    <a:latin typeface="Times New Roman" pitchFamily="18" charset="0"/>
                    <a:cs typeface="Times New Roman" pitchFamily="18" charset="0"/>
                  </a:rPr>
                  <a:t>log UFC/ml</a:t>
                </a:r>
              </a:p>
            </c:rich>
          </c:tx>
          <c:layout/>
        </c:title>
        <c:numFmt formatCode="General" sourceLinked="1"/>
        <c:tickLblPos val="nextTo"/>
        <c:spPr>
          <a:ln>
            <a:solidFill>
              <a:sysClr val="windowText" lastClr="000000"/>
            </a:solidFill>
          </a:ln>
        </c:spPr>
        <c:txPr>
          <a:bodyPr/>
          <a:lstStyle/>
          <a:p>
            <a:pPr>
              <a:defRPr b="1"/>
            </a:pPr>
            <a:endParaRPr lang="fr-FR"/>
          </a:p>
        </c:txPr>
        <c:crossAx val="52572544"/>
        <c:crosses val="autoZero"/>
        <c:crossBetween val="between"/>
        <c:majorUnit val="0.5"/>
      </c:valAx>
    </c:plotArea>
    <c:plotVisOnly val="1"/>
    <c:dispBlanksAs val="gap"/>
  </c:chart>
  <c:spPr>
    <a:ln>
      <a:solidFill>
        <a:schemeClr val="bg1"/>
      </a:solidFill>
    </a:ln>
  </c:spPr>
  <c:externalData r:id="rId1"/>
  <c:userShapes r:id="rId2"/>
</c:chartSpace>
</file>

<file path=word/charts/chart46.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a:pPr>
            <a:r>
              <a:rPr lang="fr-FR"/>
              <a:t>E</a:t>
            </a:r>
          </a:p>
        </c:rich>
      </c:tx>
      <c:layout>
        <c:manualLayout>
          <c:xMode val="edge"/>
          <c:yMode val="edge"/>
          <c:x val="1.4007693911044458E-3"/>
          <c:y val="0"/>
        </c:manualLayout>
      </c:layout>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2421566425245418"/>
          <c:y val="0.10823801345819452"/>
          <c:w val="0.68376360075733456"/>
          <c:h val="0.67574392707084674"/>
        </c:manualLayout>
      </c:layout>
      <c:lineChart>
        <c:grouping val="standard"/>
        <c:ser>
          <c:idx val="0"/>
          <c:order val="0"/>
          <c:tx>
            <c:strRef>
              <c:f>Sheet2!$B$64</c:f>
              <c:strCache>
                <c:ptCount val="1"/>
                <c:pt idx="0">
                  <c:v>1 (Temoin)</c:v>
                </c:pt>
              </c:strCache>
            </c:strRef>
          </c:tx>
          <c:spPr>
            <a:ln w="12700"/>
          </c:spPr>
          <c:errBars>
            <c:errDir val="y"/>
            <c:errBarType val="both"/>
            <c:errValType val="cust"/>
            <c:plus>
              <c:numRef>
                <c:f>Sheet1!$I$29:$M$29</c:f>
                <c:numCache>
                  <c:formatCode>General</c:formatCode>
                  <c:ptCount val="5"/>
                  <c:pt idx="0">
                    <c:v>1.7999999999999999E-2</c:v>
                  </c:pt>
                  <c:pt idx="1">
                    <c:v>2.1000000000000012E-2</c:v>
                  </c:pt>
                  <c:pt idx="2">
                    <c:v>1.4999999999999998E-2</c:v>
                  </c:pt>
                  <c:pt idx="3">
                    <c:v>2.1000000000000012E-2</c:v>
                  </c:pt>
                  <c:pt idx="4">
                    <c:v>1.2999999999999998E-2</c:v>
                  </c:pt>
                </c:numCache>
              </c:numRef>
            </c:plus>
            <c:minus>
              <c:numRef>
                <c:f>Sheet1!$I$29:$M$29</c:f>
                <c:numCache>
                  <c:formatCode>General</c:formatCode>
                  <c:ptCount val="5"/>
                  <c:pt idx="0">
                    <c:v>1.7999999999999999E-2</c:v>
                  </c:pt>
                  <c:pt idx="1">
                    <c:v>2.1000000000000012E-2</c:v>
                  </c:pt>
                  <c:pt idx="2">
                    <c:v>1.4999999999999998E-2</c:v>
                  </c:pt>
                  <c:pt idx="3">
                    <c:v>2.1000000000000012E-2</c:v>
                  </c:pt>
                  <c:pt idx="4">
                    <c:v>1.2999999999999998E-2</c:v>
                  </c:pt>
                </c:numCache>
              </c:numRef>
            </c:minus>
          </c:errBars>
          <c:cat>
            <c:strRef>
              <c:f>Sheet2!$A$65:$A$68</c:f>
              <c:strCache>
                <c:ptCount val="4"/>
                <c:pt idx="0">
                  <c:v>7 j</c:v>
                </c:pt>
                <c:pt idx="1">
                  <c:v>14 j</c:v>
                </c:pt>
                <c:pt idx="2">
                  <c:v>21 j</c:v>
                </c:pt>
                <c:pt idx="3">
                  <c:v>28 j</c:v>
                </c:pt>
              </c:strCache>
            </c:strRef>
          </c:cat>
          <c:val>
            <c:numRef>
              <c:f>Sheet2!$B$65:$B$68</c:f>
              <c:numCache>
                <c:formatCode>General</c:formatCode>
                <c:ptCount val="4"/>
                <c:pt idx="0">
                  <c:v>4.83</c:v>
                </c:pt>
                <c:pt idx="1">
                  <c:v>4.78</c:v>
                </c:pt>
                <c:pt idx="2">
                  <c:v>4.71</c:v>
                </c:pt>
                <c:pt idx="3">
                  <c:v>4.6199999999999966</c:v>
                </c:pt>
              </c:numCache>
            </c:numRef>
          </c:val>
        </c:ser>
        <c:ser>
          <c:idx val="1"/>
          <c:order val="1"/>
          <c:tx>
            <c:strRef>
              <c:f>Sheet2!$C$64</c:f>
              <c:strCache>
                <c:ptCount val="1"/>
                <c:pt idx="0">
                  <c:v>2 (Lactoserum)</c:v>
                </c:pt>
              </c:strCache>
            </c:strRef>
          </c:tx>
          <c:spPr>
            <a:ln w="12700">
              <a:solidFill>
                <a:srgbClr val="FF9900"/>
              </a:solidFill>
            </a:ln>
          </c:spPr>
          <c:marker>
            <c:symbol val="square"/>
            <c:size val="4"/>
            <c:spPr>
              <a:solidFill>
                <a:srgbClr val="FF9900"/>
              </a:solidFill>
              <a:ln>
                <a:solidFill>
                  <a:srgbClr val="FF9900"/>
                </a:solidFill>
              </a:ln>
            </c:spPr>
          </c:marker>
          <c:errBars>
            <c:errDir val="y"/>
            <c:errBarType val="both"/>
            <c:errValType val="cust"/>
            <c:plus>
              <c:numRef>
                <c:f>Sheet2!$J$65:$J$68</c:f>
                <c:numCache>
                  <c:formatCode>General</c:formatCode>
                  <c:ptCount val="4"/>
                  <c:pt idx="0">
                    <c:v>2.1000000000000012E-2</c:v>
                  </c:pt>
                  <c:pt idx="1">
                    <c:v>1.7000000000000001E-2</c:v>
                  </c:pt>
                  <c:pt idx="2">
                    <c:v>1.6000000000000021E-2</c:v>
                  </c:pt>
                  <c:pt idx="3">
                    <c:v>1.7999999999999999E-2</c:v>
                  </c:pt>
                </c:numCache>
              </c:numRef>
            </c:plus>
            <c:minus>
              <c:numRef>
                <c:f>Sheet2!$J$65:$J$68</c:f>
                <c:numCache>
                  <c:formatCode>General</c:formatCode>
                  <c:ptCount val="4"/>
                  <c:pt idx="0">
                    <c:v>2.1000000000000012E-2</c:v>
                  </c:pt>
                  <c:pt idx="1">
                    <c:v>1.7000000000000001E-2</c:v>
                  </c:pt>
                  <c:pt idx="2">
                    <c:v>1.6000000000000021E-2</c:v>
                  </c:pt>
                  <c:pt idx="3">
                    <c:v>1.7999999999999999E-2</c:v>
                  </c:pt>
                </c:numCache>
              </c:numRef>
            </c:minus>
          </c:errBars>
          <c:cat>
            <c:strRef>
              <c:f>Sheet2!$A$65:$A$68</c:f>
              <c:strCache>
                <c:ptCount val="4"/>
                <c:pt idx="0">
                  <c:v>7 j</c:v>
                </c:pt>
                <c:pt idx="1">
                  <c:v>14 j</c:v>
                </c:pt>
                <c:pt idx="2">
                  <c:v>21 j</c:v>
                </c:pt>
                <c:pt idx="3">
                  <c:v>28 j</c:v>
                </c:pt>
              </c:strCache>
            </c:strRef>
          </c:cat>
          <c:val>
            <c:numRef>
              <c:f>Sheet2!$C$65:$C$68</c:f>
              <c:numCache>
                <c:formatCode>General</c:formatCode>
                <c:ptCount val="4"/>
                <c:pt idx="0">
                  <c:v>4.67</c:v>
                </c:pt>
                <c:pt idx="1">
                  <c:v>4.6099999999999985</c:v>
                </c:pt>
                <c:pt idx="2">
                  <c:v>4.53</c:v>
                </c:pt>
                <c:pt idx="3">
                  <c:v>4.46</c:v>
                </c:pt>
              </c:numCache>
            </c:numRef>
          </c:val>
        </c:ser>
        <c:ser>
          <c:idx val="2"/>
          <c:order val="2"/>
          <c:tx>
            <c:strRef>
              <c:f>Sheet2!$D$64</c:f>
              <c:strCache>
                <c:ptCount val="1"/>
                <c:pt idx="0">
                  <c:v>3 (Promilk)</c:v>
                </c:pt>
              </c:strCache>
            </c:strRef>
          </c:tx>
          <c:spPr>
            <a:ln w="12700">
              <a:solidFill>
                <a:srgbClr val="92D050"/>
              </a:solidFill>
            </a:ln>
          </c:spPr>
          <c:marker>
            <c:spPr>
              <a:solidFill>
                <a:srgbClr val="92D050"/>
              </a:solidFill>
              <a:ln>
                <a:solidFill>
                  <a:srgbClr val="92D050"/>
                </a:solidFill>
              </a:ln>
            </c:spPr>
          </c:marker>
          <c:errBars>
            <c:errDir val="y"/>
            <c:errBarType val="both"/>
            <c:errValType val="cust"/>
            <c:plus>
              <c:numRef>
                <c:f>Sheet1!$I$31:$M$31</c:f>
                <c:numCache>
                  <c:formatCode>General</c:formatCode>
                  <c:ptCount val="5"/>
                  <c:pt idx="0">
                    <c:v>2.1000000000000012E-2</c:v>
                  </c:pt>
                  <c:pt idx="1">
                    <c:v>1.6000000000000021E-2</c:v>
                  </c:pt>
                  <c:pt idx="2">
                    <c:v>1.2E-2</c:v>
                  </c:pt>
                  <c:pt idx="3">
                    <c:v>1.0000000000000005E-2</c:v>
                  </c:pt>
                  <c:pt idx="4">
                    <c:v>1.90000000000001E-2</c:v>
                  </c:pt>
                </c:numCache>
              </c:numRef>
            </c:plus>
            <c:minus>
              <c:numRef>
                <c:f>Sheet1!$I$31:$M$31</c:f>
                <c:numCache>
                  <c:formatCode>General</c:formatCode>
                  <c:ptCount val="5"/>
                  <c:pt idx="0">
                    <c:v>2.1000000000000012E-2</c:v>
                  </c:pt>
                  <c:pt idx="1">
                    <c:v>1.6000000000000021E-2</c:v>
                  </c:pt>
                  <c:pt idx="2">
                    <c:v>1.2E-2</c:v>
                  </c:pt>
                  <c:pt idx="3">
                    <c:v>1.0000000000000005E-2</c:v>
                  </c:pt>
                  <c:pt idx="4">
                    <c:v>1.90000000000001E-2</c:v>
                  </c:pt>
                </c:numCache>
              </c:numRef>
            </c:minus>
          </c:errBars>
          <c:cat>
            <c:strRef>
              <c:f>Sheet2!$A$65:$A$68</c:f>
              <c:strCache>
                <c:ptCount val="4"/>
                <c:pt idx="0">
                  <c:v>7 j</c:v>
                </c:pt>
                <c:pt idx="1">
                  <c:v>14 j</c:v>
                </c:pt>
                <c:pt idx="2">
                  <c:v>21 j</c:v>
                </c:pt>
                <c:pt idx="3">
                  <c:v>28 j</c:v>
                </c:pt>
              </c:strCache>
            </c:strRef>
          </c:cat>
          <c:val>
            <c:numRef>
              <c:f>Sheet2!$D$65:$D$68</c:f>
              <c:numCache>
                <c:formatCode>General</c:formatCode>
                <c:ptCount val="4"/>
                <c:pt idx="0">
                  <c:v>4.8199999999999985</c:v>
                </c:pt>
                <c:pt idx="1">
                  <c:v>4.76</c:v>
                </c:pt>
                <c:pt idx="2">
                  <c:v>4.7</c:v>
                </c:pt>
                <c:pt idx="3">
                  <c:v>4.6199999999999966</c:v>
                </c:pt>
              </c:numCache>
            </c:numRef>
          </c:val>
        </c:ser>
        <c:ser>
          <c:idx val="3"/>
          <c:order val="3"/>
          <c:tx>
            <c:strRef>
              <c:f>Sheet2!$E$64</c:f>
              <c:strCache>
                <c:ptCount val="1"/>
                <c:pt idx="0">
                  <c:v>4 (H. Caseine)</c:v>
                </c:pt>
              </c:strCache>
            </c:strRef>
          </c:tx>
          <c:spPr>
            <a:ln w="12700">
              <a:solidFill>
                <a:srgbClr val="990099"/>
              </a:solidFill>
            </a:ln>
          </c:spPr>
          <c:marker>
            <c:spPr>
              <a:solidFill>
                <a:srgbClr val="990099"/>
              </a:solidFill>
              <a:ln>
                <a:solidFill>
                  <a:srgbClr val="990099"/>
                </a:solidFill>
              </a:ln>
            </c:spPr>
          </c:marker>
          <c:errBars>
            <c:errDir val="y"/>
            <c:errBarType val="both"/>
            <c:errValType val="cust"/>
            <c:plus>
              <c:numRef>
                <c:f>Sheet1!$I$32:$M$32</c:f>
                <c:numCache>
                  <c:formatCode>General</c:formatCode>
                  <c:ptCount val="5"/>
                  <c:pt idx="0">
                    <c:v>2.5000000000000001E-2</c:v>
                  </c:pt>
                  <c:pt idx="1">
                    <c:v>1.7999999999999999E-2</c:v>
                  </c:pt>
                  <c:pt idx="2">
                    <c:v>1.90000000000001E-2</c:v>
                  </c:pt>
                  <c:pt idx="3">
                    <c:v>1.0999999999999998E-2</c:v>
                  </c:pt>
                  <c:pt idx="4">
                    <c:v>1.90000000000001E-2</c:v>
                  </c:pt>
                </c:numCache>
              </c:numRef>
            </c:plus>
            <c:minus>
              <c:numRef>
                <c:f>Sheet1!$I$32:$M$32</c:f>
                <c:numCache>
                  <c:formatCode>General</c:formatCode>
                  <c:ptCount val="5"/>
                  <c:pt idx="0">
                    <c:v>2.5000000000000001E-2</c:v>
                  </c:pt>
                  <c:pt idx="1">
                    <c:v>1.7999999999999999E-2</c:v>
                  </c:pt>
                  <c:pt idx="2">
                    <c:v>1.90000000000001E-2</c:v>
                  </c:pt>
                  <c:pt idx="3">
                    <c:v>1.0999999999999998E-2</c:v>
                  </c:pt>
                  <c:pt idx="4">
                    <c:v>1.90000000000001E-2</c:v>
                  </c:pt>
                </c:numCache>
              </c:numRef>
            </c:minus>
          </c:errBars>
          <c:cat>
            <c:strRef>
              <c:f>Sheet2!$A$65:$A$68</c:f>
              <c:strCache>
                <c:ptCount val="4"/>
                <c:pt idx="0">
                  <c:v>7 j</c:v>
                </c:pt>
                <c:pt idx="1">
                  <c:v>14 j</c:v>
                </c:pt>
                <c:pt idx="2">
                  <c:v>21 j</c:v>
                </c:pt>
                <c:pt idx="3">
                  <c:v>28 j</c:v>
                </c:pt>
              </c:strCache>
            </c:strRef>
          </c:cat>
          <c:val>
            <c:numRef>
              <c:f>Sheet2!$E$65:$E$68</c:f>
              <c:numCache>
                <c:formatCode>General</c:formatCode>
                <c:ptCount val="4"/>
                <c:pt idx="0">
                  <c:v>4.84</c:v>
                </c:pt>
                <c:pt idx="1">
                  <c:v>4.75</c:v>
                </c:pt>
                <c:pt idx="2">
                  <c:v>4.68</c:v>
                </c:pt>
                <c:pt idx="3">
                  <c:v>4.6099999999999985</c:v>
                </c:pt>
              </c:numCache>
            </c:numRef>
          </c:val>
        </c:ser>
        <c:ser>
          <c:idx val="4"/>
          <c:order val="4"/>
          <c:tx>
            <c:strRef>
              <c:f>Sheet2!$F$64</c:f>
              <c:strCache>
                <c:ptCount val="1"/>
                <c:pt idx="0">
                  <c:v>5 (H. Proteine)</c:v>
                </c:pt>
              </c:strCache>
            </c:strRef>
          </c:tx>
          <c:spPr>
            <a:ln w="12700">
              <a:solidFill>
                <a:srgbClr val="FF33CC"/>
              </a:solidFill>
            </a:ln>
          </c:spPr>
          <c:marker>
            <c:symbol val="circle"/>
            <c:size val="4"/>
            <c:spPr>
              <a:solidFill>
                <a:srgbClr val="FF33CC"/>
              </a:solidFill>
              <a:ln>
                <a:solidFill>
                  <a:srgbClr val="FF33CC"/>
                </a:solidFill>
              </a:ln>
            </c:spPr>
          </c:marker>
          <c:errBars>
            <c:errDir val="y"/>
            <c:errBarType val="both"/>
            <c:errValType val="cust"/>
            <c:plus>
              <c:numRef>
                <c:f>Sheet2!$M$65:$M$68</c:f>
                <c:numCache>
                  <c:formatCode>General</c:formatCode>
                  <c:ptCount val="4"/>
                  <c:pt idx="0">
                    <c:v>1.2999999999999998E-2</c:v>
                  </c:pt>
                  <c:pt idx="1">
                    <c:v>1.2E-2</c:v>
                  </c:pt>
                  <c:pt idx="2">
                    <c:v>1.90000000000001E-2</c:v>
                  </c:pt>
                  <c:pt idx="3">
                    <c:v>1.90000000000001E-2</c:v>
                  </c:pt>
                </c:numCache>
              </c:numRef>
            </c:plus>
            <c:minus>
              <c:numRef>
                <c:f>Sheet2!$M$65:$M$68</c:f>
                <c:numCache>
                  <c:formatCode>General</c:formatCode>
                  <c:ptCount val="4"/>
                  <c:pt idx="0">
                    <c:v>1.2999999999999998E-2</c:v>
                  </c:pt>
                  <c:pt idx="1">
                    <c:v>1.2E-2</c:v>
                  </c:pt>
                  <c:pt idx="2">
                    <c:v>1.90000000000001E-2</c:v>
                  </c:pt>
                  <c:pt idx="3">
                    <c:v>1.90000000000001E-2</c:v>
                  </c:pt>
                </c:numCache>
              </c:numRef>
            </c:minus>
            <c:spPr>
              <a:ln w="3175">
                <a:solidFill>
                  <a:srgbClr val="000000"/>
                </a:solidFill>
                <a:prstDash val="solid"/>
              </a:ln>
            </c:spPr>
          </c:errBars>
          <c:cat>
            <c:strRef>
              <c:f>Sheet2!$A$65:$A$68</c:f>
              <c:strCache>
                <c:ptCount val="4"/>
                <c:pt idx="0">
                  <c:v>7 j</c:v>
                </c:pt>
                <c:pt idx="1">
                  <c:v>14 j</c:v>
                </c:pt>
                <c:pt idx="2">
                  <c:v>21 j</c:v>
                </c:pt>
                <c:pt idx="3">
                  <c:v>28 j</c:v>
                </c:pt>
              </c:strCache>
            </c:strRef>
          </c:cat>
          <c:val>
            <c:numRef>
              <c:f>Sheet2!$F$65:$F$68</c:f>
              <c:numCache>
                <c:formatCode>General</c:formatCode>
                <c:ptCount val="4"/>
                <c:pt idx="0">
                  <c:v>4.76</c:v>
                </c:pt>
                <c:pt idx="1">
                  <c:v>4.7</c:v>
                </c:pt>
                <c:pt idx="2">
                  <c:v>4.6399999999999997</c:v>
                </c:pt>
                <c:pt idx="3">
                  <c:v>4.55</c:v>
                </c:pt>
              </c:numCache>
            </c:numRef>
          </c:val>
        </c:ser>
        <c:marker val="1"/>
        <c:axId val="52624000"/>
        <c:axId val="52822784"/>
      </c:lineChart>
      <c:catAx>
        <c:axId val="52624000"/>
        <c:scaling>
          <c:orientation val="minMax"/>
        </c:scaling>
        <c:axPos val="b"/>
        <c:title>
          <c:tx>
            <c:rich>
              <a:bodyPr/>
              <a:lstStyle/>
              <a:p>
                <a:pPr>
                  <a:defRPr/>
                </a:pPr>
                <a:r>
                  <a:rPr lang="en-US"/>
                  <a:t>Entreposage à +4°C en jours</a:t>
                </a:r>
              </a:p>
            </c:rich>
          </c:tx>
          <c:layout>
            <c:manualLayout>
              <c:xMode val="edge"/>
              <c:yMode val="edge"/>
              <c:x val="0.21336616204708247"/>
              <c:y val="0.92849879779013644"/>
            </c:manualLayout>
          </c:layout>
        </c:title>
        <c:numFmt formatCode="General" sourceLinked="1"/>
        <c:tickLblPos val="nextTo"/>
        <c:spPr>
          <a:ln w="9525">
            <a:solidFill>
              <a:schemeClr val="tx1"/>
            </a:solidFill>
          </a:ln>
        </c:spPr>
        <c:crossAx val="52822784"/>
        <c:crosses val="autoZero"/>
        <c:auto val="1"/>
        <c:lblAlgn val="ctr"/>
        <c:lblOffset val="100"/>
      </c:catAx>
      <c:valAx>
        <c:axId val="52822784"/>
        <c:scaling>
          <c:orientation val="minMax"/>
          <c:max val="4.9000000000000004"/>
          <c:min val="4.4000000000000004"/>
        </c:scaling>
        <c:axPos val="l"/>
        <c:title>
          <c:tx>
            <c:rich>
              <a:bodyPr rot="-5400000" vert="horz"/>
              <a:lstStyle/>
              <a:p>
                <a:pPr>
                  <a:defRPr/>
                </a:pPr>
                <a:r>
                  <a:rPr lang="en-US"/>
                  <a:t>pH</a:t>
                </a:r>
              </a:p>
            </c:rich>
          </c:tx>
          <c:layout/>
        </c:title>
        <c:numFmt formatCode="General" sourceLinked="1"/>
        <c:tickLblPos val="nextTo"/>
        <c:spPr>
          <a:ln w="9525">
            <a:solidFill>
              <a:schemeClr val="tx1"/>
            </a:solidFill>
          </a:ln>
        </c:spPr>
        <c:crossAx val="52624000"/>
        <c:crosses val="autoZero"/>
        <c:crossBetween val="midCat"/>
        <c:majorUnit val="0.1"/>
      </c:valAx>
    </c:plotArea>
    <c:plotVisOnly val="1"/>
    <c:dispBlanksAs val="gap"/>
  </c:chart>
  <c:spPr>
    <a:ln>
      <a:solidFill>
        <a:schemeClr val="bg1"/>
      </a:solidFill>
    </a:ln>
  </c:spPr>
  <c:txPr>
    <a:bodyPr/>
    <a:lstStyle/>
    <a:p>
      <a:pPr>
        <a:defRPr b="1">
          <a:latin typeface="Times New Roman" pitchFamily="18" charset="0"/>
          <a:cs typeface="Times New Roman" pitchFamily="18" charset="0"/>
        </a:defRPr>
      </a:pPr>
      <a:endParaRPr lang="fr-FR"/>
    </a:p>
  </c:txPr>
  <c:externalData r:id="rId1"/>
  <c:userShapes r:id="rId2"/>
</c:chartSpace>
</file>

<file path=word/charts/chart47.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a:pPr>
            <a:r>
              <a:rPr lang="fr-FR" sz="1800"/>
              <a:t>D</a:t>
            </a:r>
          </a:p>
        </c:rich>
      </c:tx>
      <c:layout>
        <c:manualLayout>
          <c:xMode val="edge"/>
          <c:yMode val="edge"/>
          <c:x val="3.1830372206694553E-2"/>
          <c:y val="0"/>
        </c:manualLayout>
      </c:layout>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25512437261131826"/>
          <c:y val="0.11255500469848659"/>
          <c:w val="0.67577805405903535"/>
          <c:h val="0.6790711037663506"/>
        </c:manualLayout>
      </c:layout>
      <c:lineChart>
        <c:grouping val="standard"/>
        <c:ser>
          <c:idx val="0"/>
          <c:order val="0"/>
          <c:tx>
            <c:strRef>
              <c:f>Sheet2!$B$61</c:f>
              <c:strCache>
                <c:ptCount val="1"/>
                <c:pt idx="0">
                  <c:v>1 (Temoin)</c:v>
                </c:pt>
              </c:strCache>
            </c:strRef>
          </c:tx>
          <c:spPr>
            <a:ln w="12700"/>
          </c:spPr>
          <c:errBars>
            <c:errDir val="y"/>
            <c:errBarType val="both"/>
            <c:errValType val="cust"/>
            <c:plus>
              <c:numRef>
                <c:f>Sheet2!$I$62:$I$65</c:f>
                <c:numCache>
                  <c:formatCode>General</c:formatCode>
                  <c:ptCount val="4"/>
                  <c:pt idx="0">
                    <c:v>2.0000000000000011E-2</c:v>
                  </c:pt>
                  <c:pt idx="1">
                    <c:v>2.1000000000000012E-2</c:v>
                  </c:pt>
                  <c:pt idx="2">
                    <c:v>1.4E-2</c:v>
                  </c:pt>
                  <c:pt idx="3">
                    <c:v>1.90000000000001E-2</c:v>
                  </c:pt>
                </c:numCache>
              </c:numRef>
            </c:plus>
            <c:minus>
              <c:numRef>
                <c:f>Sheet2!$I$62:$I$65</c:f>
                <c:numCache>
                  <c:formatCode>General</c:formatCode>
                  <c:ptCount val="4"/>
                  <c:pt idx="0">
                    <c:v>2.0000000000000011E-2</c:v>
                  </c:pt>
                  <c:pt idx="1">
                    <c:v>2.1000000000000012E-2</c:v>
                  </c:pt>
                  <c:pt idx="2">
                    <c:v>1.4E-2</c:v>
                  </c:pt>
                  <c:pt idx="3">
                    <c:v>1.90000000000001E-2</c:v>
                  </c:pt>
                </c:numCache>
              </c:numRef>
            </c:minus>
          </c:errBars>
          <c:cat>
            <c:strRef>
              <c:f>Sheet2!$A$62:$A$65</c:f>
              <c:strCache>
                <c:ptCount val="4"/>
                <c:pt idx="0">
                  <c:v>7 j</c:v>
                </c:pt>
                <c:pt idx="1">
                  <c:v>14 j</c:v>
                </c:pt>
                <c:pt idx="2">
                  <c:v>21 j</c:v>
                </c:pt>
                <c:pt idx="3">
                  <c:v>28 j</c:v>
                </c:pt>
              </c:strCache>
            </c:strRef>
          </c:cat>
          <c:val>
            <c:numRef>
              <c:f>Sheet2!$B$62:$B$65</c:f>
              <c:numCache>
                <c:formatCode>General</c:formatCode>
                <c:ptCount val="4"/>
                <c:pt idx="0">
                  <c:v>4.8099999999999996</c:v>
                </c:pt>
                <c:pt idx="1">
                  <c:v>4.76</c:v>
                </c:pt>
                <c:pt idx="2">
                  <c:v>4.67</c:v>
                </c:pt>
                <c:pt idx="3">
                  <c:v>4.57</c:v>
                </c:pt>
              </c:numCache>
            </c:numRef>
          </c:val>
        </c:ser>
        <c:ser>
          <c:idx val="1"/>
          <c:order val="1"/>
          <c:tx>
            <c:strRef>
              <c:f>Sheet2!$C$61</c:f>
              <c:strCache>
                <c:ptCount val="1"/>
                <c:pt idx="0">
                  <c:v>2 (Lactoserum)</c:v>
                </c:pt>
              </c:strCache>
            </c:strRef>
          </c:tx>
          <c:spPr>
            <a:ln w="12700">
              <a:solidFill>
                <a:srgbClr val="FF9900"/>
              </a:solidFill>
            </a:ln>
          </c:spPr>
          <c:marker>
            <c:symbol val="square"/>
            <c:size val="4"/>
            <c:spPr>
              <a:solidFill>
                <a:srgbClr val="FF9900"/>
              </a:solidFill>
              <a:ln>
                <a:solidFill>
                  <a:srgbClr val="FF9900"/>
                </a:solidFill>
              </a:ln>
            </c:spPr>
          </c:marker>
          <c:errBars>
            <c:errDir val="y"/>
            <c:errBarType val="both"/>
            <c:errValType val="cust"/>
            <c:plus>
              <c:numRef>
                <c:f>Sheet2!$J$62:$J$65</c:f>
                <c:numCache>
                  <c:formatCode>General</c:formatCode>
                  <c:ptCount val="4"/>
                  <c:pt idx="0">
                    <c:v>1.2E-2</c:v>
                  </c:pt>
                  <c:pt idx="1">
                    <c:v>1.2E-2</c:v>
                  </c:pt>
                  <c:pt idx="2">
                    <c:v>1.4999999999999998E-2</c:v>
                  </c:pt>
                  <c:pt idx="3">
                    <c:v>1.2999999999999998E-2</c:v>
                  </c:pt>
                </c:numCache>
              </c:numRef>
            </c:plus>
            <c:minus>
              <c:numRef>
                <c:f>Sheet2!$J$62:$J$65</c:f>
                <c:numCache>
                  <c:formatCode>General</c:formatCode>
                  <c:ptCount val="4"/>
                  <c:pt idx="0">
                    <c:v>1.2E-2</c:v>
                  </c:pt>
                  <c:pt idx="1">
                    <c:v>1.2E-2</c:v>
                  </c:pt>
                  <c:pt idx="2">
                    <c:v>1.4999999999999998E-2</c:v>
                  </c:pt>
                  <c:pt idx="3">
                    <c:v>1.2999999999999998E-2</c:v>
                  </c:pt>
                </c:numCache>
              </c:numRef>
            </c:minus>
          </c:errBars>
          <c:cat>
            <c:strRef>
              <c:f>Sheet2!$A$62:$A$65</c:f>
              <c:strCache>
                <c:ptCount val="4"/>
                <c:pt idx="0">
                  <c:v>7 j</c:v>
                </c:pt>
                <c:pt idx="1">
                  <c:v>14 j</c:v>
                </c:pt>
                <c:pt idx="2">
                  <c:v>21 j</c:v>
                </c:pt>
                <c:pt idx="3">
                  <c:v>28 j</c:v>
                </c:pt>
              </c:strCache>
            </c:strRef>
          </c:cat>
          <c:val>
            <c:numRef>
              <c:f>Sheet2!$C$62:$C$65</c:f>
              <c:numCache>
                <c:formatCode>General</c:formatCode>
                <c:ptCount val="4"/>
                <c:pt idx="0">
                  <c:v>4.6199999999999966</c:v>
                </c:pt>
                <c:pt idx="1">
                  <c:v>4.58</c:v>
                </c:pt>
                <c:pt idx="2">
                  <c:v>4.51</c:v>
                </c:pt>
                <c:pt idx="3">
                  <c:v>4.4300000000000024</c:v>
                </c:pt>
              </c:numCache>
            </c:numRef>
          </c:val>
        </c:ser>
        <c:ser>
          <c:idx val="2"/>
          <c:order val="2"/>
          <c:tx>
            <c:strRef>
              <c:f>Sheet2!$D$61</c:f>
              <c:strCache>
                <c:ptCount val="1"/>
                <c:pt idx="0">
                  <c:v>3 (Promilk)</c:v>
                </c:pt>
              </c:strCache>
            </c:strRef>
          </c:tx>
          <c:spPr>
            <a:ln w="12700">
              <a:solidFill>
                <a:srgbClr val="92D050"/>
              </a:solidFill>
            </a:ln>
          </c:spPr>
          <c:marker>
            <c:spPr>
              <a:solidFill>
                <a:srgbClr val="92D050"/>
              </a:solidFill>
              <a:ln>
                <a:solidFill>
                  <a:srgbClr val="92D050"/>
                </a:solidFill>
              </a:ln>
            </c:spPr>
          </c:marker>
          <c:errBars>
            <c:errDir val="y"/>
            <c:errBarType val="both"/>
            <c:errValType val="cust"/>
            <c:plus>
              <c:numRef>
                <c:f>Sheet2!$K$62:$K$65</c:f>
                <c:numCache>
                  <c:formatCode>General</c:formatCode>
                  <c:ptCount val="4"/>
                  <c:pt idx="0">
                    <c:v>2.1000000000000012E-2</c:v>
                  </c:pt>
                  <c:pt idx="1">
                    <c:v>1.0000000000000005E-2</c:v>
                  </c:pt>
                  <c:pt idx="2">
                    <c:v>1.4E-2</c:v>
                  </c:pt>
                  <c:pt idx="3">
                    <c:v>1.4E-2</c:v>
                  </c:pt>
                </c:numCache>
              </c:numRef>
            </c:plus>
            <c:minus>
              <c:numRef>
                <c:f>Sheet2!$K$62:$K$65</c:f>
                <c:numCache>
                  <c:formatCode>General</c:formatCode>
                  <c:ptCount val="4"/>
                  <c:pt idx="0">
                    <c:v>2.1000000000000012E-2</c:v>
                  </c:pt>
                  <c:pt idx="1">
                    <c:v>1.0000000000000005E-2</c:v>
                  </c:pt>
                  <c:pt idx="2">
                    <c:v>1.4E-2</c:v>
                  </c:pt>
                  <c:pt idx="3">
                    <c:v>1.4E-2</c:v>
                  </c:pt>
                </c:numCache>
              </c:numRef>
            </c:minus>
          </c:errBars>
          <c:cat>
            <c:strRef>
              <c:f>Sheet2!$A$62:$A$65</c:f>
              <c:strCache>
                <c:ptCount val="4"/>
                <c:pt idx="0">
                  <c:v>7 j</c:v>
                </c:pt>
                <c:pt idx="1">
                  <c:v>14 j</c:v>
                </c:pt>
                <c:pt idx="2">
                  <c:v>21 j</c:v>
                </c:pt>
                <c:pt idx="3">
                  <c:v>28 j</c:v>
                </c:pt>
              </c:strCache>
            </c:strRef>
          </c:cat>
          <c:val>
            <c:numRef>
              <c:f>Sheet2!$D$62:$D$65</c:f>
              <c:numCache>
                <c:formatCode>General</c:formatCode>
                <c:ptCount val="4"/>
                <c:pt idx="0">
                  <c:v>4.78</c:v>
                </c:pt>
                <c:pt idx="1">
                  <c:v>4.71</c:v>
                </c:pt>
                <c:pt idx="2">
                  <c:v>4.6499999999999995</c:v>
                </c:pt>
                <c:pt idx="3">
                  <c:v>4.55</c:v>
                </c:pt>
              </c:numCache>
            </c:numRef>
          </c:val>
        </c:ser>
        <c:ser>
          <c:idx val="3"/>
          <c:order val="3"/>
          <c:tx>
            <c:strRef>
              <c:f>Sheet2!$E$61</c:f>
              <c:strCache>
                <c:ptCount val="1"/>
                <c:pt idx="0">
                  <c:v>4 (H. Caseine)</c:v>
                </c:pt>
              </c:strCache>
            </c:strRef>
          </c:tx>
          <c:spPr>
            <a:ln w="12700">
              <a:solidFill>
                <a:srgbClr val="990099"/>
              </a:solidFill>
            </a:ln>
          </c:spPr>
          <c:marker>
            <c:spPr>
              <a:solidFill>
                <a:srgbClr val="990099"/>
              </a:solidFill>
              <a:ln>
                <a:solidFill>
                  <a:srgbClr val="990099"/>
                </a:solidFill>
              </a:ln>
            </c:spPr>
          </c:marker>
          <c:errBars>
            <c:errDir val="y"/>
            <c:errBarType val="both"/>
            <c:errValType val="cust"/>
            <c:plus>
              <c:numRef>
                <c:f>Sheet2!$L$62:$L$65</c:f>
                <c:numCache>
                  <c:formatCode>General</c:formatCode>
                  <c:ptCount val="4"/>
                  <c:pt idx="0">
                    <c:v>2.3E-2</c:v>
                  </c:pt>
                  <c:pt idx="1">
                    <c:v>2.5000000000000001E-2</c:v>
                  </c:pt>
                  <c:pt idx="2">
                    <c:v>2.5999999999999999E-2</c:v>
                  </c:pt>
                  <c:pt idx="3">
                    <c:v>2.4E-2</c:v>
                  </c:pt>
                </c:numCache>
              </c:numRef>
            </c:plus>
            <c:minus>
              <c:numRef>
                <c:f>Sheet2!$L$62:$L$65</c:f>
                <c:numCache>
                  <c:formatCode>General</c:formatCode>
                  <c:ptCount val="4"/>
                  <c:pt idx="0">
                    <c:v>2.3E-2</c:v>
                  </c:pt>
                  <c:pt idx="1">
                    <c:v>2.5000000000000001E-2</c:v>
                  </c:pt>
                  <c:pt idx="2">
                    <c:v>2.5999999999999999E-2</c:v>
                  </c:pt>
                  <c:pt idx="3">
                    <c:v>2.4E-2</c:v>
                  </c:pt>
                </c:numCache>
              </c:numRef>
            </c:minus>
          </c:errBars>
          <c:cat>
            <c:strRef>
              <c:f>Sheet2!$A$62:$A$65</c:f>
              <c:strCache>
                <c:ptCount val="4"/>
                <c:pt idx="0">
                  <c:v>7 j</c:v>
                </c:pt>
                <c:pt idx="1">
                  <c:v>14 j</c:v>
                </c:pt>
                <c:pt idx="2">
                  <c:v>21 j</c:v>
                </c:pt>
                <c:pt idx="3">
                  <c:v>28 j</c:v>
                </c:pt>
              </c:strCache>
            </c:strRef>
          </c:cat>
          <c:val>
            <c:numRef>
              <c:f>Sheet2!$E$62:$E$65</c:f>
              <c:numCache>
                <c:formatCode>General</c:formatCode>
                <c:ptCount val="4"/>
                <c:pt idx="0">
                  <c:v>4.8</c:v>
                </c:pt>
                <c:pt idx="1">
                  <c:v>4.7300000000000004</c:v>
                </c:pt>
                <c:pt idx="2">
                  <c:v>4.6499999999999995</c:v>
                </c:pt>
                <c:pt idx="3">
                  <c:v>4.58</c:v>
                </c:pt>
              </c:numCache>
            </c:numRef>
          </c:val>
        </c:ser>
        <c:ser>
          <c:idx val="4"/>
          <c:order val="4"/>
          <c:tx>
            <c:strRef>
              <c:f>Sheet2!$F$61</c:f>
              <c:strCache>
                <c:ptCount val="1"/>
                <c:pt idx="0">
                  <c:v>5 (H. Proteine)</c:v>
                </c:pt>
              </c:strCache>
            </c:strRef>
          </c:tx>
          <c:spPr>
            <a:ln w="12700">
              <a:solidFill>
                <a:srgbClr val="FF33CC"/>
              </a:solidFill>
            </a:ln>
          </c:spPr>
          <c:marker>
            <c:symbol val="circle"/>
            <c:size val="4"/>
            <c:spPr>
              <a:solidFill>
                <a:srgbClr val="FF33CC"/>
              </a:solidFill>
              <a:ln>
                <a:solidFill>
                  <a:srgbClr val="FF33CC"/>
                </a:solidFill>
              </a:ln>
            </c:spPr>
          </c:marker>
          <c:errBars>
            <c:errDir val="y"/>
            <c:errBarType val="both"/>
            <c:errValType val="cust"/>
            <c:plus>
              <c:numRef>
                <c:f>Sheet2!$M$62:$M$65</c:f>
                <c:numCache>
                  <c:formatCode>General</c:formatCode>
                  <c:ptCount val="4"/>
                  <c:pt idx="0">
                    <c:v>3.5999999999999997E-2</c:v>
                  </c:pt>
                  <c:pt idx="1">
                    <c:v>2.5999999999999999E-2</c:v>
                  </c:pt>
                  <c:pt idx="2">
                    <c:v>2.5999999999999999E-2</c:v>
                  </c:pt>
                  <c:pt idx="3">
                    <c:v>2.5999999999999999E-2</c:v>
                  </c:pt>
                </c:numCache>
              </c:numRef>
            </c:plus>
            <c:minus>
              <c:numRef>
                <c:f>Sheet2!$M$62:$M$65</c:f>
                <c:numCache>
                  <c:formatCode>General</c:formatCode>
                  <c:ptCount val="4"/>
                  <c:pt idx="0">
                    <c:v>3.5999999999999997E-2</c:v>
                  </c:pt>
                  <c:pt idx="1">
                    <c:v>2.5999999999999999E-2</c:v>
                  </c:pt>
                  <c:pt idx="2">
                    <c:v>2.5999999999999999E-2</c:v>
                  </c:pt>
                  <c:pt idx="3">
                    <c:v>2.5999999999999999E-2</c:v>
                  </c:pt>
                </c:numCache>
              </c:numRef>
            </c:minus>
            <c:spPr>
              <a:ln w="3175">
                <a:solidFill>
                  <a:srgbClr val="000000"/>
                </a:solidFill>
                <a:prstDash val="solid"/>
              </a:ln>
            </c:spPr>
          </c:errBars>
          <c:cat>
            <c:strRef>
              <c:f>Sheet2!$A$62:$A$65</c:f>
              <c:strCache>
                <c:ptCount val="4"/>
                <c:pt idx="0">
                  <c:v>7 j</c:v>
                </c:pt>
                <c:pt idx="1">
                  <c:v>14 j</c:v>
                </c:pt>
                <c:pt idx="2">
                  <c:v>21 j</c:v>
                </c:pt>
                <c:pt idx="3">
                  <c:v>28 j</c:v>
                </c:pt>
              </c:strCache>
            </c:strRef>
          </c:cat>
          <c:val>
            <c:numRef>
              <c:f>Sheet2!$F$62:$F$65</c:f>
              <c:numCache>
                <c:formatCode>General</c:formatCode>
                <c:ptCount val="4"/>
                <c:pt idx="0">
                  <c:v>4.71</c:v>
                </c:pt>
                <c:pt idx="1">
                  <c:v>4.6499999999999995</c:v>
                </c:pt>
                <c:pt idx="2">
                  <c:v>4.58</c:v>
                </c:pt>
                <c:pt idx="3">
                  <c:v>4.5199999999999996</c:v>
                </c:pt>
              </c:numCache>
            </c:numRef>
          </c:val>
        </c:ser>
        <c:marker val="1"/>
        <c:axId val="52954624"/>
        <c:axId val="52956544"/>
      </c:lineChart>
      <c:catAx>
        <c:axId val="52954624"/>
        <c:scaling>
          <c:orientation val="minMax"/>
        </c:scaling>
        <c:axPos val="b"/>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000" b="1" i="0" u="none" strike="noStrike" kern="1200" baseline="0">
                    <a:solidFill>
                      <a:srgbClr val="000000"/>
                    </a:solidFill>
                    <a:latin typeface="Times New Roman" pitchFamily="18" charset="0"/>
                    <a:ea typeface="Calibri"/>
                    <a:cs typeface="Times New Roman" pitchFamily="18" charset="0"/>
                  </a:defRPr>
                </a:pPr>
                <a:r>
                  <a:rPr lang="en-US" sz="1000" b="1" i="0" baseline="0"/>
                  <a:t>Entreposage à +4°C en jours</a:t>
                </a:r>
                <a:endParaRPr lang="fr-FR" sz="1000"/>
              </a:p>
            </c:rich>
          </c:tx>
          <c:layout>
            <c:manualLayout>
              <c:xMode val="edge"/>
              <c:yMode val="edge"/>
              <c:x val="0.26234847347078888"/>
              <c:y val="0.91657042869641292"/>
            </c:manualLayout>
          </c:layout>
        </c:title>
        <c:numFmt formatCode="General" sourceLinked="1"/>
        <c:tickLblPos val="nextTo"/>
        <c:spPr>
          <a:ln w="9525">
            <a:solidFill>
              <a:schemeClr val="tx1"/>
            </a:solidFill>
          </a:ln>
        </c:spPr>
        <c:txPr>
          <a:bodyPr rot="0" vert="horz"/>
          <a:lstStyle/>
          <a:p>
            <a:pPr>
              <a:defRPr b="1" i="0" baseline="0"/>
            </a:pPr>
            <a:endParaRPr lang="fr-FR"/>
          </a:p>
        </c:txPr>
        <c:crossAx val="52956544"/>
        <c:crosses val="autoZero"/>
        <c:auto val="1"/>
        <c:lblAlgn val="ctr"/>
        <c:lblOffset val="100"/>
      </c:catAx>
      <c:valAx>
        <c:axId val="52956544"/>
        <c:scaling>
          <c:orientation val="minMax"/>
          <c:max val="4.9000000000000004"/>
          <c:min val="4.3"/>
        </c:scaling>
        <c:axPos val="l"/>
        <c:title>
          <c:tx>
            <c:rich>
              <a:bodyPr rot="-5400000" vert="horz"/>
              <a:lstStyle/>
              <a:p>
                <a:pPr>
                  <a:defRPr b="1"/>
                </a:pPr>
                <a:r>
                  <a:rPr lang="en-US" b="1"/>
                  <a:t>pH</a:t>
                </a:r>
              </a:p>
            </c:rich>
          </c:tx>
          <c:layout/>
        </c:title>
        <c:numFmt formatCode="General" sourceLinked="1"/>
        <c:tickLblPos val="nextTo"/>
        <c:spPr>
          <a:noFill/>
          <a:ln w="9525">
            <a:solidFill>
              <a:sysClr val="windowText" lastClr="000000"/>
            </a:solidFill>
          </a:ln>
        </c:spPr>
        <c:txPr>
          <a:bodyPr rot="0" vert="horz"/>
          <a:lstStyle/>
          <a:p>
            <a:pPr>
              <a:defRPr b="1" i="0" baseline="0"/>
            </a:pPr>
            <a:endParaRPr lang="fr-FR"/>
          </a:p>
        </c:txPr>
        <c:crossAx val="52954624"/>
        <c:crosses val="autoZero"/>
        <c:crossBetween val="midCat"/>
      </c:valAx>
    </c:plotArea>
    <c:plotVisOnly val="1"/>
    <c:dispBlanksAs val="gap"/>
  </c:chart>
  <c:spPr>
    <a:ln>
      <a:solidFill>
        <a:schemeClr val="bg1"/>
      </a:solidFill>
    </a:ln>
  </c:spPr>
  <c:txPr>
    <a:bodyPr/>
    <a:lstStyle/>
    <a:p>
      <a:pPr>
        <a:defRPr sz="1000" b="0" i="0" u="none" strike="noStrike" baseline="0">
          <a:solidFill>
            <a:srgbClr val="000000"/>
          </a:solidFill>
          <a:latin typeface="Times New Roman" pitchFamily="18" charset="0"/>
          <a:ea typeface="Calibri"/>
          <a:cs typeface="Times New Roman" pitchFamily="18" charset="0"/>
        </a:defRPr>
      </a:pPr>
      <a:endParaRPr lang="fr-FR"/>
    </a:p>
  </c:txPr>
  <c:externalData r:id="rId1"/>
  <c:userShapes r:id="rId2"/>
</c:chartSpace>
</file>

<file path=word/charts/chart48.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a:pPr>
            <a:r>
              <a:rPr lang="fr-FR"/>
              <a:t>C</a:t>
            </a:r>
          </a:p>
        </c:rich>
      </c:tx>
      <c:layout>
        <c:manualLayout>
          <c:xMode val="edge"/>
          <c:yMode val="edge"/>
          <c:x val="2.5252525252525255E-3"/>
          <c:y val="0"/>
        </c:manualLayout>
      </c:layout>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19015043353044003"/>
          <c:y val="0.13774104683195701"/>
          <c:w val="0.70533086773244258"/>
          <c:h val="0.65030303030303471"/>
        </c:manualLayout>
      </c:layout>
      <c:lineChart>
        <c:grouping val="standard"/>
        <c:ser>
          <c:idx val="0"/>
          <c:order val="0"/>
          <c:tx>
            <c:strRef>
              <c:f>Sheet2!$B$64</c:f>
              <c:strCache>
                <c:ptCount val="1"/>
                <c:pt idx="0">
                  <c:v>1 (Temoin)</c:v>
                </c:pt>
              </c:strCache>
            </c:strRef>
          </c:tx>
          <c:spPr>
            <a:ln w="12700"/>
          </c:spPr>
          <c:errBars>
            <c:errDir val="y"/>
            <c:errBarType val="both"/>
            <c:errValType val="cust"/>
            <c:plus>
              <c:numRef>
                <c:f>Sheet1!$I$29:$M$29</c:f>
                <c:numCache>
                  <c:formatCode>General</c:formatCode>
                  <c:ptCount val="5"/>
                  <c:pt idx="0">
                    <c:v>1.4E-2</c:v>
                  </c:pt>
                  <c:pt idx="1">
                    <c:v>2.5999999999999999E-2</c:v>
                  </c:pt>
                  <c:pt idx="2">
                    <c:v>1.6000000000000021E-2</c:v>
                  </c:pt>
                  <c:pt idx="3">
                    <c:v>2.1999999999999999E-2</c:v>
                  </c:pt>
                  <c:pt idx="4">
                    <c:v>1.6000000000000021E-2</c:v>
                  </c:pt>
                </c:numCache>
              </c:numRef>
            </c:plus>
            <c:minus>
              <c:numRef>
                <c:f>Sheet1!$I$29:$M$29</c:f>
                <c:numCache>
                  <c:formatCode>General</c:formatCode>
                  <c:ptCount val="5"/>
                  <c:pt idx="0">
                    <c:v>1.4E-2</c:v>
                  </c:pt>
                  <c:pt idx="1">
                    <c:v>2.5999999999999999E-2</c:v>
                  </c:pt>
                  <c:pt idx="2">
                    <c:v>1.6000000000000021E-2</c:v>
                  </c:pt>
                  <c:pt idx="3">
                    <c:v>2.1999999999999999E-2</c:v>
                  </c:pt>
                  <c:pt idx="4">
                    <c:v>1.6000000000000021E-2</c:v>
                  </c:pt>
                </c:numCache>
              </c:numRef>
            </c:minus>
          </c:errBars>
          <c:cat>
            <c:strRef>
              <c:f>Sheet2!$A$65:$A$68</c:f>
              <c:strCache>
                <c:ptCount val="4"/>
                <c:pt idx="0">
                  <c:v>7 j</c:v>
                </c:pt>
                <c:pt idx="1">
                  <c:v>14 j</c:v>
                </c:pt>
                <c:pt idx="2">
                  <c:v>21 j</c:v>
                </c:pt>
                <c:pt idx="3">
                  <c:v>28 j</c:v>
                </c:pt>
              </c:strCache>
            </c:strRef>
          </c:cat>
          <c:val>
            <c:numRef>
              <c:f>Sheet2!$B$65:$B$68</c:f>
              <c:numCache>
                <c:formatCode>General</c:formatCode>
                <c:ptCount val="4"/>
                <c:pt idx="0">
                  <c:v>4.92</c:v>
                </c:pt>
                <c:pt idx="1">
                  <c:v>4.84</c:v>
                </c:pt>
                <c:pt idx="2">
                  <c:v>4.8</c:v>
                </c:pt>
                <c:pt idx="3">
                  <c:v>4.71</c:v>
                </c:pt>
              </c:numCache>
            </c:numRef>
          </c:val>
        </c:ser>
        <c:ser>
          <c:idx val="1"/>
          <c:order val="1"/>
          <c:tx>
            <c:strRef>
              <c:f>Sheet2!$C$64</c:f>
              <c:strCache>
                <c:ptCount val="1"/>
                <c:pt idx="0">
                  <c:v>2 (Lactoserum)</c:v>
                </c:pt>
              </c:strCache>
            </c:strRef>
          </c:tx>
          <c:spPr>
            <a:ln w="12700">
              <a:solidFill>
                <a:srgbClr val="FF9900"/>
              </a:solidFill>
            </a:ln>
          </c:spPr>
          <c:marker>
            <c:symbol val="square"/>
            <c:size val="4"/>
            <c:spPr>
              <a:solidFill>
                <a:srgbClr val="FF9900"/>
              </a:solidFill>
              <a:ln>
                <a:solidFill>
                  <a:srgbClr val="FF9900"/>
                </a:solidFill>
              </a:ln>
            </c:spPr>
          </c:marker>
          <c:errBars>
            <c:errDir val="y"/>
            <c:errBarType val="both"/>
            <c:errValType val="cust"/>
            <c:plus>
              <c:numRef>
                <c:f>Sheet1!$I$30:$M$30</c:f>
                <c:numCache>
                  <c:formatCode>General</c:formatCode>
                  <c:ptCount val="5"/>
                  <c:pt idx="0">
                    <c:v>1.4999999999999998E-2</c:v>
                  </c:pt>
                  <c:pt idx="1">
                    <c:v>1.90000000000001E-2</c:v>
                  </c:pt>
                  <c:pt idx="2">
                    <c:v>1.90000000000001E-2</c:v>
                  </c:pt>
                  <c:pt idx="3">
                    <c:v>2.4E-2</c:v>
                  </c:pt>
                  <c:pt idx="4">
                    <c:v>1.90000000000001E-2</c:v>
                  </c:pt>
                </c:numCache>
              </c:numRef>
            </c:plus>
            <c:minus>
              <c:numRef>
                <c:f>Sheet1!$I$30:$M$30</c:f>
                <c:numCache>
                  <c:formatCode>General</c:formatCode>
                  <c:ptCount val="5"/>
                  <c:pt idx="0">
                    <c:v>1.4999999999999998E-2</c:v>
                  </c:pt>
                  <c:pt idx="1">
                    <c:v>1.90000000000001E-2</c:v>
                  </c:pt>
                  <c:pt idx="2">
                    <c:v>1.90000000000001E-2</c:v>
                  </c:pt>
                  <c:pt idx="3">
                    <c:v>2.4E-2</c:v>
                  </c:pt>
                  <c:pt idx="4">
                    <c:v>1.90000000000001E-2</c:v>
                  </c:pt>
                </c:numCache>
              </c:numRef>
            </c:minus>
          </c:errBars>
          <c:cat>
            <c:strRef>
              <c:f>Sheet2!$A$65:$A$68</c:f>
              <c:strCache>
                <c:ptCount val="4"/>
                <c:pt idx="0">
                  <c:v>7 j</c:v>
                </c:pt>
                <c:pt idx="1">
                  <c:v>14 j</c:v>
                </c:pt>
                <c:pt idx="2">
                  <c:v>21 j</c:v>
                </c:pt>
                <c:pt idx="3">
                  <c:v>28 j</c:v>
                </c:pt>
              </c:strCache>
            </c:strRef>
          </c:cat>
          <c:val>
            <c:numRef>
              <c:f>Sheet2!$C$65:$C$68</c:f>
              <c:numCache>
                <c:formatCode>General</c:formatCode>
                <c:ptCount val="4"/>
                <c:pt idx="0">
                  <c:v>4.79</c:v>
                </c:pt>
                <c:pt idx="1">
                  <c:v>4.74</c:v>
                </c:pt>
                <c:pt idx="2">
                  <c:v>4.68</c:v>
                </c:pt>
                <c:pt idx="3">
                  <c:v>4.58</c:v>
                </c:pt>
              </c:numCache>
            </c:numRef>
          </c:val>
        </c:ser>
        <c:ser>
          <c:idx val="2"/>
          <c:order val="2"/>
          <c:tx>
            <c:strRef>
              <c:f>Sheet2!$D$64</c:f>
              <c:strCache>
                <c:ptCount val="1"/>
                <c:pt idx="0">
                  <c:v>3 (Promilk)</c:v>
                </c:pt>
              </c:strCache>
            </c:strRef>
          </c:tx>
          <c:spPr>
            <a:ln w="12700">
              <a:solidFill>
                <a:srgbClr val="92D050"/>
              </a:solidFill>
            </a:ln>
          </c:spPr>
          <c:marker>
            <c:spPr>
              <a:solidFill>
                <a:srgbClr val="92D050"/>
              </a:solidFill>
              <a:ln>
                <a:solidFill>
                  <a:srgbClr val="92D050"/>
                </a:solidFill>
              </a:ln>
            </c:spPr>
          </c:marker>
          <c:errBars>
            <c:errDir val="y"/>
            <c:errBarType val="both"/>
            <c:errValType val="cust"/>
            <c:plus>
              <c:numRef>
                <c:f>Sheet1!$I$31:$M$31</c:f>
                <c:numCache>
                  <c:formatCode>General</c:formatCode>
                  <c:ptCount val="5"/>
                  <c:pt idx="0">
                    <c:v>1.2999999999999998E-2</c:v>
                  </c:pt>
                  <c:pt idx="1">
                    <c:v>1.2E-2</c:v>
                  </c:pt>
                  <c:pt idx="2">
                    <c:v>2.5000000000000001E-2</c:v>
                  </c:pt>
                  <c:pt idx="3">
                    <c:v>1.7999999999999999E-2</c:v>
                  </c:pt>
                  <c:pt idx="4">
                    <c:v>1.7999999999999999E-2</c:v>
                  </c:pt>
                </c:numCache>
              </c:numRef>
            </c:plus>
            <c:minus>
              <c:numRef>
                <c:f>Sheet1!$I$31:$M$31</c:f>
                <c:numCache>
                  <c:formatCode>General</c:formatCode>
                  <c:ptCount val="5"/>
                  <c:pt idx="0">
                    <c:v>1.2999999999999998E-2</c:v>
                  </c:pt>
                  <c:pt idx="1">
                    <c:v>1.2E-2</c:v>
                  </c:pt>
                  <c:pt idx="2">
                    <c:v>2.5000000000000001E-2</c:v>
                  </c:pt>
                  <c:pt idx="3">
                    <c:v>1.7999999999999999E-2</c:v>
                  </c:pt>
                  <c:pt idx="4">
                    <c:v>1.7999999999999999E-2</c:v>
                  </c:pt>
                </c:numCache>
              </c:numRef>
            </c:minus>
          </c:errBars>
          <c:cat>
            <c:strRef>
              <c:f>Sheet2!$A$65:$A$68</c:f>
              <c:strCache>
                <c:ptCount val="4"/>
                <c:pt idx="0">
                  <c:v>7 j</c:v>
                </c:pt>
                <c:pt idx="1">
                  <c:v>14 j</c:v>
                </c:pt>
                <c:pt idx="2">
                  <c:v>21 j</c:v>
                </c:pt>
                <c:pt idx="3">
                  <c:v>28 j</c:v>
                </c:pt>
              </c:strCache>
            </c:strRef>
          </c:cat>
          <c:val>
            <c:numRef>
              <c:f>Sheet2!$D$65:$D$68</c:f>
              <c:numCache>
                <c:formatCode>General</c:formatCode>
                <c:ptCount val="4"/>
                <c:pt idx="0">
                  <c:v>4.88</c:v>
                </c:pt>
                <c:pt idx="1">
                  <c:v>4.84</c:v>
                </c:pt>
                <c:pt idx="2">
                  <c:v>4.7699999999999996</c:v>
                </c:pt>
                <c:pt idx="3">
                  <c:v>4.6599999999999975</c:v>
                </c:pt>
              </c:numCache>
            </c:numRef>
          </c:val>
        </c:ser>
        <c:ser>
          <c:idx val="3"/>
          <c:order val="3"/>
          <c:tx>
            <c:strRef>
              <c:f>Sheet2!$E$64</c:f>
              <c:strCache>
                <c:ptCount val="1"/>
                <c:pt idx="0">
                  <c:v>4 (H. Caseine)</c:v>
                </c:pt>
              </c:strCache>
            </c:strRef>
          </c:tx>
          <c:spPr>
            <a:ln w="12700">
              <a:solidFill>
                <a:srgbClr val="990099"/>
              </a:solidFill>
            </a:ln>
          </c:spPr>
          <c:marker>
            <c:spPr>
              <a:solidFill>
                <a:srgbClr val="990099"/>
              </a:solidFill>
              <a:ln>
                <a:solidFill>
                  <a:srgbClr val="990099"/>
                </a:solidFill>
              </a:ln>
            </c:spPr>
          </c:marker>
          <c:errBars>
            <c:errDir val="y"/>
            <c:errBarType val="both"/>
            <c:errValType val="cust"/>
            <c:plus>
              <c:numRef>
                <c:f>Sheet1!$I$32:$M$32</c:f>
                <c:numCache>
                  <c:formatCode>General</c:formatCode>
                  <c:ptCount val="5"/>
                  <c:pt idx="0">
                    <c:v>1.7000000000000001E-2</c:v>
                  </c:pt>
                  <c:pt idx="1">
                    <c:v>1.7999999999999999E-2</c:v>
                  </c:pt>
                  <c:pt idx="2">
                    <c:v>2.5999999999999999E-2</c:v>
                  </c:pt>
                  <c:pt idx="3">
                    <c:v>2.0000000000000011E-2</c:v>
                  </c:pt>
                  <c:pt idx="4">
                    <c:v>1.2999999999999998E-2</c:v>
                  </c:pt>
                </c:numCache>
              </c:numRef>
            </c:plus>
            <c:minus>
              <c:numRef>
                <c:f>Sheet1!$I$32:$M$32</c:f>
                <c:numCache>
                  <c:formatCode>General</c:formatCode>
                  <c:ptCount val="5"/>
                  <c:pt idx="0">
                    <c:v>1.7000000000000001E-2</c:v>
                  </c:pt>
                  <c:pt idx="1">
                    <c:v>1.7999999999999999E-2</c:v>
                  </c:pt>
                  <c:pt idx="2">
                    <c:v>2.5999999999999999E-2</c:v>
                  </c:pt>
                  <c:pt idx="3">
                    <c:v>2.0000000000000011E-2</c:v>
                  </c:pt>
                  <c:pt idx="4">
                    <c:v>1.2999999999999998E-2</c:v>
                  </c:pt>
                </c:numCache>
              </c:numRef>
            </c:minus>
          </c:errBars>
          <c:cat>
            <c:strRef>
              <c:f>Sheet2!$A$65:$A$68</c:f>
              <c:strCache>
                <c:ptCount val="4"/>
                <c:pt idx="0">
                  <c:v>7 j</c:v>
                </c:pt>
                <c:pt idx="1">
                  <c:v>14 j</c:v>
                </c:pt>
                <c:pt idx="2">
                  <c:v>21 j</c:v>
                </c:pt>
                <c:pt idx="3">
                  <c:v>28 j</c:v>
                </c:pt>
              </c:strCache>
            </c:strRef>
          </c:cat>
          <c:val>
            <c:numRef>
              <c:f>Sheet2!$E$65:$E$68</c:f>
              <c:numCache>
                <c:formatCode>General</c:formatCode>
                <c:ptCount val="4"/>
                <c:pt idx="0">
                  <c:v>4.9000000000000004</c:v>
                </c:pt>
                <c:pt idx="1">
                  <c:v>4.8499999999999996</c:v>
                </c:pt>
                <c:pt idx="2">
                  <c:v>4.79</c:v>
                </c:pt>
                <c:pt idx="3">
                  <c:v>4.71</c:v>
                </c:pt>
              </c:numCache>
            </c:numRef>
          </c:val>
        </c:ser>
        <c:ser>
          <c:idx val="4"/>
          <c:order val="4"/>
          <c:tx>
            <c:strRef>
              <c:f>Sheet2!$F$64</c:f>
              <c:strCache>
                <c:ptCount val="1"/>
                <c:pt idx="0">
                  <c:v>5 (H. Proteine)</c:v>
                </c:pt>
              </c:strCache>
            </c:strRef>
          </c:tx>
          <c:spPr>
            <a:ln w="12700">
              <a:solidFill>
                <a:srgbClr val="FF33CC"/>
              </a:solidFill>
            </a:ln>
          </c:spPr>
          <c:marker>
            <c:symbol val="circle"/>
            <c:size val="5"/>
            <c:spPr>
              <a:solidFill>
                <a:srgbClr val="FF33CC"/>
              </a:solidFill>
              <a:ln>
                <a:solidFill>
                  <a:srgbClr val="FF33CC"/>
                </a:solidFill>
              </a:ln>
            </c:spPr>
          </c:marker>
          <c:cat>
            <c:strRef>
              <c:f>Sheet2!$A$65:$A$68</c:f>
              <c:strCache>
                <c:ptCount val="4"/>
                <c:pt idx="0">
                  <c:v>7 j</c:v>
                </c:pt>
                <c:pt idx="1">
                  <c:v>14 j</c:v>
                </c:pt>
                <c:pt idx="2">
                  <c:v>21 j</c:v>
                </c:pt>
                <c:pt idx="3">
                  <c:v>28 j</c:v>
                </c:pt>
              </c:strCache>
            </c:strRef>
          </c:cat>
          <c:val>
            <c:numRef>
              <c:f>Sheet2!$F$65:$F$68</c:f>
              <c:numCache>
                <c:formatCode>General</c:formatCode>
                <c:ptCount val="4"/>
                <c:pt idx="0">
                  <c:v>4.9000000000000004</c:v>
                </c:pt>
                <c:pt idx="1">
                  <c:v>4.8599999999999985</c:v>
                </c:pt>
                <c:pt idx="2">
                  <c:v>4.79</c:v>
                </c:pt>
                <c:pt idx="3">
                  <c:v>4.6599999999999975</c:v>
                </c:pt>
              </c:numCache>
            </c:numRef>
          </c:val>
        </c:ser>
        <c:marker val="1"/>
        <c:axId val="53009792"/>
        <c:axId val="53032832"/>
      </c:lineChart>
      <c:catAx>
        <c:axId val="53009792"/>
        <c:scaling>
          <c:orientation val="minMax"/>
        </c:scaling>
        <c:axPos val="b"/>
        <c:title>
          <c:tx>
            <c:rich>
              <a:bodyPr/>
              <a:lstStyle/>
              <a:p>
                <a:pPr>
                  <a:defRPr/>
                </a:pPr>
                <a:r>
                  <a:rPr lang="en-US"/>
                  <a:t>Entreposage à +4°C en jours</a:t>
                </a:r>
              </a:p>
            </c:rich>
          </c:tx>
          <c:layout>
            <c:manualLayout>
              <c:xMode val="edge"/>
              <c:yMode val="edge"/>
              <c:x val="0.21097255839129156"/>
              <c:y val="0.9173553719008265"/>
            </c:manualLayout>
          </c:layout>
        </c:title>
        <c:numFmt formatCode="General" sourceLinked="1"/>
        <c:tickLblPos val="nextTo"/>
        <c:spPr>
          <a:ln w="9525">
            <a:solidFill>
              <a:schemeClr val="tx1"/>
            </a:solidFill>
          </a:ln>
        </c:spPr>
        <c:crossAx val="53032832"/>
        <c:crosses val="autoZero"/>
        <c:auto val="1"/>
        <c:lblAlgn val="ctr"/>
        <c:lblOffset val="100"/>
      </c:catAx>
      <c:valAx>
        <c:axId val="53032832"/>
        <c:scaling>
          <c:orientation val="minMax"/>
          <c:max val="5"/>
          <c:min val="4.5"/>
        </c:scaling>
        <c:axPos val="l"/>
        <c:title>
          <c:tx>
            <c:rich>
              <a:bodyPr rot="-5400000" vert="horz"/>
              <a:lstStyle/>
              <a:p>
                <a:pPr>
                  <a:defRPr/>
                </a:pPr>
                <a:r>
                  <a:rPr lang="en-US"/>
                  <a:t>pH</a:t>
                </a:r>
              </a:p>
            </c:rich>
          </c:tx>
          <c:layout/>
        </c:title>
        <c:numFmt formatCode="General" sourceLinked="1"/>
        <c:tickLblPos val="nextTo"/>
        <c:spPr>
          <a:noFill/>
          <a:ln w="9525">
            <a:solidFill>
              <a:sysClr val="windowText" lastClr="000000"/>
            </a:solidFill>
          </a:ln>
        </c:spPr>
        <c:crossAx val="53009792"/>
        <c:crosses val="autoZero"/>
        <c:crossBetween val="midCat"/>
        <c:majorUnit val="0.1"/>
        <c:minorUnit val="1.0000000000000005E-2"/>
      </c:valAx>
    </c:plotArea>
    <c:plotVisOnly val="1"/>
    <c:dispBlanksAs val="gap"/>
  </c:chart>
  <c:spPr>
    <a:ln>
      <a:solidFill>
        <a:schemeClr val="bg1"/>
      </a:solidFill>
    </a:ln>
  </c:spPr>
  <c:txPr>
    <a:bodyPr/>
    <a:lstStyle/>
    <a:p>
      <a:pPr>
        <a:defRPr b="1">
          <a:latin typeface="Times New Roman" pitchFamily="18" charset="0"/>
          <a:cs typeface="Times New Roman" pitchFamily="18" charset="0"/>
        </a:defRPr>
      </a:pPr>
      <a:endParaRPr lang="fr-FR"/>
    </a:p>
  </c:txPr>
  <c:externalData r:id="rId1"/>
  <c:userShapes r:id="rId2"/>
</c:chartSpace>
</file>

<file path=word/charts/chart49.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a:pPr>
            <a:r>
              <a:rPr lang="fr-FR" sz="1800" b="0"/>
              <a:t>B</a:t>
            </a:r>
          </a:p>
        </c:rich>
      </c:tx>
      <c:layout>
        <c:manualLayout>
          <c:xMode val="edge"/>
          <c:yMode val="edge"/>
          <c:x val="1.4007693911044458E-3"/>
          <c:y val="0"/>
        </c:manualLayout>
      </c:layout>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25211906337459622"/>
          <c:y val="0.14334098001529397"/>
          <c:w val="0.67635710917785241"/>
          <c:h val="0.6245815002662034"/>
        </c:manualLayout>
      </c:layout>
      <c:lineChart>
        <c:grouping val="standard"/>
        <c:ser>
          <c:idx val="0"/>
          <c:order val="0"/>
          <c:tx>
            <c:strRef>
              <c:f>Sheet2!$B$60</c:f>
              <c:strCache>
                <c:ptCount val="1"/>
                <c:pt idx="0">
                  <c:v>1 (Temoin)</c:v>
                </c:pt>
              </c:strCache>
            </c:strRef>
          </c:tx>
          <c:spPr>
            <a:ln w="12700"/>
          </c:spPr>
          <c:errBars>
            <c:errDir val="y"/>
            <c:errBarType val="both"/>
            <c:errValType val="cust"/>
            <c:plus>
              <c:numRef>
                <c:f>Sheet1!$I$29:$M$29</c:f>
                <c:numCache>
                  <c:formatCode>General</c:formatCode>
                  <c:ptCount val="5"/>
                  <c:pt idx="0">
                    <c:v>2.1000000000000012E-2</c:v>
                  </c:pt>
                  <c:pt idx="1">
                    <c:v>2.3E-2</c:v>
                  </c:pt>
                  <c:pt idx="2">
                    <c:v>1.2E-2</c:v>
                  </c:pt>
                  <c:pt idx="3">
                    <c:v>1.0000000000000005E-2</c:v>
                  </c:pt>
                  <c:pt idx="4">
                    <c:v>2.9000000000000001E-2</c:v>
                  </c:pt>
                </c:numCache>
              </c:numRef>
            </c:plus>
            <c:minus>
              <c:numRef>
                <c:f>Sheet1!$I$29:$M$29</c:f>
                <c:numCache>
                  <c:formatCode>General</c:formatCode>
                  <c:ptCount val="5"/>
                  <c:pt idx="0">
                    <c:v>2.1000000000000012E-2</c:v>
                  </c:pt>
                  <c:pt idx="1">
                    <c:v>2.3E-2</c:v>
                  </c:pt>
                  <c:pt idx="2">
                    <c:v>1.2E-2</c:v>
                  </c:pt>
                  <c:pt idx="3">
                    <c:v>1.0000000000000005E-2</c:v>
                  </c:pt>
                  <c:pt idx="4">
                    <c:v>2.9000000000000001E-2</c:v>
                  </c:pt>
                </c:numCache>
              </c:numRef>
            </c:minus>
          </c:errBars>
          <c:cat>
            <c:strRef>
              <c:f>Sheet2!$A$61:$A$64</c:f>
              <c:strCache>
                <c:ptCount val="4"/>
                <c:pt idx="0">
                  <c:v>7 j</c:v>
                </c:pt>
                <c:pt idx="1">
                  <c:v>14 j</c:v>
                </c:pt>
                <c:pt idx="2">
                  <c:v>21 j</c:v>
                </c:pt>
                <c:pt idx="3">
                  <c:v>28 j</c:v>
                </c:pt>
              </c:strCache>
            </c:strRef>
          </c:cat>
          <c:val>
            <c:numRef>
              <c:f>Sheet2!$B$61:$B$64</c:f>
              <c:numCache>
                <c:formatCode>General</c:formatCode>
                <c:ptCount val="4"/>
                <c:pt idx="0">
                  <c:v>4.8599999999999985</c:v>
                </c:pt>
                <c:pt idx="1">
                  <c:v>4.79</c:v>
                </c:pt>
                <c:pt idx="2">
                  <c:v>4.6899999999999995</c:v>
                </c:pt>
                <c:pt idx="3">
                  <c:v>4.58</c:v>
                </c:pt>
              </c:numCache>
            </c:numRef>
          </c:val>
        </c:ser>
        <c:ser>
          <c:idx val="1"/>
          <c:order val="1"/>
          <c:tx>
            <c:strRef>
              <c:f>Sheet2!$C$60</c:f>
              <c:strCache>
                <c:ptCount val="1"/>
                <c:pt idx="0">
                  <c:v>2 (Lactoserum)</c:v>
                </c:pt>
              </c:strCache>
            </c:strRef>
          </c:tx>
          <c:spPr>
            <a:ln w="12700">
              <a:solidFill>
                <a:srgbClr val="FF9900"/>
              </a:solidFill>
            </a:ln>
          </c:spPr>
          <c:marker>
            <c:spPr>
              <a:solidFill>
                <a:srgbClr val="FF9900"/>
              </a:solidFill>
              <a:ln>
                <a:solidFill>
                  <a:srgbClr val="FF9900"/>
                </a:solidFill>
              </a:ln>
            </c:spPr>
          </c:marker>
          <c:errBars>
            <c:errDir val="y"/>
            <c:errBarType val="both"/>
            <c:errValType val="cust"/>
            <c:plus>
              <c:numRef>
                <c:f>Sheet2!$J$61:$J$64</c:f>
                <c:numCache>
                  <c:formatCode>General</c:formatCode>
                  <c:ptCount val="4"/>
                  <c:pt idx="0">
                    <c:v>2.3E-2</c:v>
                  </c:pt>
                  <c:pt idx="1">
                    <c:v>1.7000000000000001E-2</c:v>
                  </c:pt>
                  <c:pt idx="2">
                    <c:v>1.2999999999999998E-2</c:v>
                  </c:pt>
                  <c:pt idx="3">
                    <c:v>2.1999999999999999E-2</c:v>
                  </c:pt>
                </c:numCache>
              </c:numRef>
            </c:plus>
            <c:minus>
              <c:numRef>
                <c:f>Sheet2!$J$61:$J$64</c:f>
                <c:numCache>
                  <c:formatCode>General</c:formatCode>
                  <c:ptCount val="4"/>
                  <c:pt idx="0">
                    <c:v>2.3E-2</c:v>
                  </c:pt>
                  <c:pt idx="1">
                    <c:v>1.7000000000000001E-2</c:v>
                  </c:pt>
                  <c:pt idx="2">
                    <c:v>1.2999999999999998E-2</c:v>
                  </c:pt>
                  <c:pt idx="3">
                    <c:v>2.1999999999999999E-2</c:v>
                  </c:pt>
                </c:numCache>
              </c:numRef>
            </c:minus>
          </c:errBars>
          <c:cat>
            <c:strRef>
              <c:f>Sheet2!$A$61:$A$64</c:f>
              <c:strCache>
                <c:ptCount val="4"/>
                <c:pt idx="0">
                  <c:v>7 j</c:v>
                </c:pt>
                <c:pt idx="1">
                  <c:v>14 j</c:v>
                </c:pt>
                <c:pt idx="2">
                  <c:v>21 j</c:v>
                </c:pt>
                <c:pt idx="3">
                  <c:v>28 j</c:v>
                </c:pt>
              </c:strCache>
            </c:strRef>
          </c:cat>
          <c:val>
            <c:numRef>
              <c:f>Sheet2!$C$61:$C$64</c:f>
              <c:numCache>
                <c:formatCode>General</c:formatCode>
                <c:ptCount val="4"/>
                <c:pt idx="0">
                  <c:v>4.6499999999999995</c:v>
                </c:pt>
                <c:pt idx="1">
                  <c:v>4.58</c:v>
                </c:pt>
                <c:pt idx="2">
                  <c:v>4.5199999999999996</c:v>
                </c:pt>
                <c:pt idx="3">
                  <c:v>4.4700000000000024</c:v>
                </c:pt>
              </c:numCache>
            </c:numRef>
          </c:val>
        </c:ser>
        <c:ser>
          <c:idx val="2"/>
          <c:order val="2"/>
          <c:tx>
            <c:strRef>
              <c:f>Sheet2!$D$60</c:f>
              <c:strCache>
                <c:ptCount val="1"/>
                <c:pt idx="0">
                  <c:v>3 (Promilk)</c:v>
                </c:pt>
              </c:strCache>
            </c:strRef>
          </c:tx>
          <c:spPr>
            <a:ln w="12700">
              <a:solidFill>
                <a:srgbClr val="92D050"/>
              </a:solidFill>
            </a:ln>
          </c:spPr>
          <c:marker>
            <c:spPr>
              <a:solidFill>
                <a:srgbClr val="92D050"/>
              </a:solidFill>
              <a:ln>
                <a:solidFill>
                  <a:srgbClr val="92D050"/>
                </a:solidFill>
              </a:ln>
            </c:spPr>
          </c:marker>
          <c:errBars>
            <c:errDir val="y"/>
            <c:errBarType val="both"/>
            <c:errValType val="cust"/>
            <c:plus>
              <c:numRef>
                <c:f>Sheet1!$I$39:$M$39</c:f>
                <c:numCache>
                  <c:formatCode>General</c:formatCode>
                  <c:ptCount val="5"/>
                  <c:pt idx="0">
                    <c:v>2.9000000000000001E-2</c:v>
                  </c:pt>
                  <c:pt idx="1">
                    <c:v>1.6000000000000021E-2</c:v>
                  </c:pt>
                  <c:pt idx="2">
                    <c:v>1.90000000000001E-2</c:v>
                  </c:pt>
                  <c:pt idx="3">
                    <c:v>3.3000000000000002E-2</c:v>
                  </c:pt>
                  <c:pt idx="4">
                    <c:v>6.3E-2</c:v>
                  </c:pt>
                </c:numCache>
              </c:numRef>
            </c:plus>
            <c:minus>
              <c:numRef>
                <c:f>Sheet1!$I$39:$M$39</c:f>
                <c:numCache>
                  <c:formatCode>General</c:formatCode>
                  <c:ptCount val="5"/>
                  <c:pt idx="0">
                    <c:v>2.9000000000000001E-2</c:v>
                  </c:pt>
                  <c:pt idx="1">
                    <c:v>1.6000000000000021E-2</c:v>
                  </c:pt>
                  <c:pt idx="2">
                    <c:v>1.90000000000001E-2</c:v>
                  </c:pt>
                  <c:pt idx="3">
                    <c:v>3.3000000000000002E-2</c:v>
                  </c:pt>
                  <c:pt idx="4">
                    <c:v>6.3E-2</c:v>
                  </c:pt>
                </c:numCache>
              </c:numRef>
            </c:minus>
          </c:errBars>
          <c:cat>
            <c:strRef>
              <c:f>Sheet2!$A$61:$A$64</c:f>
              <c:strCache>
                <c:ptCount val="4"/>
                <c:pt idx="0">
                  <c:v>7 j</c:v>
                </c:pt>
                <c:pt idx="1">
                  <c:v>14 j</c:v>
                </c:pt>
                <c:pt idx="2">
                  <c:v>21 j</c:v>
                </c:pt>
                <c:pt idx="3">
                  <c:v>28 j</c:v>
                </c:pt>
              </c:strCache>
            </c:strRef>
          </c:cat>
          <c:val>
            <c:numRef>
              <c:f>Sheet2!$D$61:$D$64</c:f>
              <c:numCache>
                <c:formatCode>General</c:formatCode>
                <c:ptCount val="4"/>
                <c:pt idx="0">
                  <c:v>4.8</c:v>
                </c:pt>
                <c:pt idx="1">
                  <c:v>4.7300000000000004</c:v>
                </c:pt>
                <c:pt idx="2">
                  <c:v>4.6499999999999995</c:v>
                </c:pt>
                <c:pt idx="3">
                  <c:v>4.57</c:v>
                </c:pt>
              </c:numCache>
            </c:numRef>
          </c:val>
        </c:ser>
        <c:ser>
          <c:idx val="3"/>
          <c:order val="3"/>
          <c:tx>
            <c:strRef>
              <c:f>Sheet2!$E$60</c:f>
              <c:strCache>
                <c:ptCount val="1"/>
                <c:pt idx="0">
                  <c:v>4 (H. Caseine)</c:v>
                </c:pt>
              </c:strCache>
            </c:strRef>
          </c:tx>
          <c:spPr>
            <a:ln w="12700">
              <a:solidFill>
                <a:srgbClr val="990099"/>
              </a:solidFill>
            </a:ln>
          </c:spPr>
          <c:marker>
            <c:spPr>
              <a:solidFill>
                <a:srgbClr val="990099"/>
              </a:solidFill>
              <a:ln>
                <a:solidFill>
                  <a:srgbClr val="990099"/>
                </a:solidFill>
              </a:ln>
            </c:spPr>
          </c:marker>
          <c:errBars>
            <c:errDir val="y"/>
            <c:errBarType val="both"/>
            <c:errValType val="cust"/>
            <c:plus>
              <c:numRef>
                <c:f>Sheet1!$I$32:$M$32</c:f>
                <c:numCache>
                  <c:formatCode>General</c:formatCode>
                  <c:ptCount val="5"/>
                  <c:pt idx="0">
                    <c:v>2.7000000000000145E-2</c:v>
                  </c:pt>
                  <c:pt idx="1">
                    <c:v>2.1999999999999999E-2</c:v>
                  </c:pt>
                  <c:pt idx="2">
                    <c:v>2.9000000000000001E-2</c:v>
                  </c:pt>
                  <c:pt idx="3">
                    <c:v>1.7999999999999999E-2</c:v>
                  </c:pt>
                  <c:pt idx="4">
                    <c:v>1.90000000000001E-2</c:v>
                  </c:pt>
                </c:numCache>
              </c:numRef>
            </c:plus>
            <c:minus>
              <c:numRef>
                <c:f>Sheet1!$I$32:$L$32</c:f>
                <c:numCache>
                  <c:formatCode>General</c:formatCode>
                  <c:ptCount val="4"/>
                  <c:pt idx="0">
                    <c:v>2.7000000000000145E-2</c:v>
                  </c:pt>
                  <c:pt idx="1">
                    <c:v>2.1999999999999999E-2</c:v>
                  </c:pt>
                  <c:pt idx="2">
                    <c:v>2.9000000000000001E-2</c:v>
                  </c:pt>
                  <c:pt idx="3">
                    <c:v>1.7999999999999999E-2</c:v>
                  </c:pt>
                </c:numCache>
              </c:numRef>
            </c:minus>
          </c:errBars>
          <c:cat>
            <c:strRef>
              <c:f>Sheet2!$A$61:$A$64</c:f>
              <c:strCache>
                <c:ptCount val="4"/>
                <c:pt idx="0">
                  <c:v>7 j</c:v>
                </c:pt>
                <c:pt idx="1">
                  <c:v>14 j</c:v>
                </c:pt>
                <c:pt idx="2">
                  <c:v>21 j</c:v>
                </c:pt>
                <c:pt idx="3">
                  <c:v>28 j</c:v>
                </c:pt>
              </c:strCache>
            </c:strRef>
          </c:cat>
          <c:val>
            <c:numRef>
              <c:f>Sheet2!$E$61:$E$64</c:f>
              <c:numCache>
                <c:formatCode>General</c:formatCode>
                <c:ptCount val="4"/>
                <c:pt idx="0">
                  <c:v>4.8499999999999996</c:v>
                </c:pt>
                <c:pt idx="1">
                  <c:v>4.7699999999999996</c:v>
                </c:pt>
                <c:pt idx="2">
                  <c:v>4.6899999999999995</c:v>
                </c:pt>
                <c:pt idx="3">
                  <c:v>4.58</c:v>
                </c:pt>
              </c:numCache>
            </c:numRef>
          </c:val>
        </c:ser>
        <c:ser>
          <c:idx val="4"/>
          <c:order val="4"/>
          <c:tx>
            <c:strRef>
              <c:f>Sheet2!$F$60</c:f>
              <c:strCache>
                <c:ptCount val="1"/>
                <c:pt idx="0">
                  <c:v>5 (H. Proteine)</c:v>
                </c:pt>
              </c:strCache>
            </c:strRef>
          </c:tx>
          <c:spPr>
            <a:ln w="12700">
              <a:solidFill>
                <a:srgbClr val="FF33CC"/>
              </a:solidFill>
            </a:ln>
          </c:spPr>
          <c:marker>
            <c:symbol val="circle"/>
            <c:size val="4"/>
            <c:spPr>
              <a:solidFill>
                <a:srgbClr val="FF33CC"/>
              </a:solidFill>
              <a:ln>
                <a:solidFill>
                  <a:srgbClr val="FF33CC"/>
                </a:solidFill>
              </a:ln>
            </c:spPr>
          </c:marker>
          <c:errBars>
            <c:errDir val="y"/>
            <c:errBarType val="both"/>
            <c:errValType val="cust"/>
            <c:plus>
              <c:numRef>
                <c:f>Sheet2!$M$61:$M$64</c:f>
                <c:numCache>
                  <c:formatCode>General</c:formatCode>
                  <c:ptCount val="4"/>
                  <c:pt idx="0">
                    <c:v>2.9000000000000001E-2</c:v>
                  </c:pt>
                  <c:pt idx="1">
                    <c:v>1.6000000000000021E-2</c:v>
                  </c:pt>
                  <c:pt idx="2">
                    <c:v>1.4E-2</c:v>
                  </c:pt>
                  <c:pt idx="3">
                    <c:v>1.90000000000001E-2</c:v>
                  </c:pt>
                </c:numCache>
              </c:numRef>
            </c:plus>
            <c:minus>
              <c:numRef>
                <c:f>Sheet2!$M$61:$M$64</c:f>
                <c:numCache>
                  <c:formatCode>General</c:formatCode>
                  <c:ptCount val="4"/>
                  <c:pt idx="0">
                    <c:v>2.9000000000000001E-2</c:v>
                  </c:pt>
                  <c:pt idx="1">
                    <c:v>1.6000000000000021E-2</c:v>
                  </c:pt>
                  <c:pt idx="2">
                    <c:v>1.4E-2</c:v>
                  </c:pt>
                  <c:pt idx="3">
                    <c:v>1.90000000000001E-2</c:v>
                  </c:pt>
                </c:numCache>
              </c:numRef>
            </c:minus>
            <c:spPr>
              <a:ln w="3175">
                <a:solidFill>
                  <a:srgbClr val="000000"/>
                </a:solidFill>
                <a:prstDash val="solid"/>
              </a:ln>
            </c:spPr>
          </c:errBars>
          <c:cat>
            <c:strRef>
              <c:f>Sheet2!$A$61:$A$64</c:f>
              <c:strCache>
                <c:ptCount val="4"/>
                <c:pt idx="0">
                  <c:v>7 j</c:v>
                </c:pt>
                <c:pt idx="1">
                  <c:v>14 j</c:v>
                </c:pt>
                <c:pt idx="2">
                  <c:v>21 j</c:v>
                </c:pt>
                <c:pt idx="3">
                  <c:v>28 j</c:v>
                </c:pt>
              </c:strCache>
            </c:strRef>
          </c:cat>
          <c:val>
            <c:numRef>
              <c:f>Sheet2!$F$61:$F$64</c:f>
              <c:numCache>
                <c:formatCode>General</c:formatCode>
                <c:ptCount val="4"/>
                <c:pt idx="0">
                  <c:v>4.76</c:v>
                </c:pt>
                <c:pt idx="1">
                  <c:v>4.6599999999999975</c:v>
                </c:pt>
                <c:pt idx="2">
                  <c:v>4.59</c:v>
                </c:pt>
                <c:pt idx="3">
                  <c:v>4.51</c:v>
                </c:pt>
              </c:numCache>
            </c:numRef>
          </c:val>
        </c:ser>
        <c:marker val="1"/>
        <c:axId val="53078656"/>
        <c:axId val="53089024"/>
      </c:lineChart>
      <c:catAx>
        <c:axId val="53078656"/>
        <c:scaling>
          <c:orientation val="minMax"/>
        </c:scaling>
        <c:axPos val="b"/>
        <c:title>
          <c:tx>
            <c:rich>
              <a:bodyPr/>
              <a:lstStyle/>
              <a:p>
                <a:pPr>
                  <a:defRPr sz="1000" b="1" i="0" u="none" strike="noStrike" baseline="0">
                    <a:solidFill>
                      <a:srgbClr val="000000"/>
                    </a:solidFill>
                    <a:latin typeface="Times New Roman"/>
                    <a:ea typeface="Times New Roman"/>
                    <a:cs typeface="Times New Roman"/>
                  </a:defRPr>
                </a:pPr>
                <a:r>
                  <a:rPr lang="fr-FR"/>
                  <a:t>Entreposage à +4°C en jours</a:t>
                </a:r>
              </a:p>
            </c:rich>
          </c:tx>
          <c:layout>
            <c:manualLayout>
              <c:xMode val="edge"/>
              <c:yMode val="edge"/>
              <c:x val="0.26918322295805741"/>
              <c:y val="0.92922427401201191"/>
            </c:manualLayout>
          </c:layout>
        </c:title>
        <c:numFmt formatCode="General" sourceLinked="1"/>
        <c:tickLblPos val="nextTo"/>
        <c:spPr>
          <a:ln w="9525">
            <a:solidFill>
              <a:sysClr val="windowText" lastClr="000000"/>
            </a:solidFill>
          </a:ln>
        </c:spPr>
        <c:txPr>
          <a:bodyPr rot="0" vert="horz"/>
          <a:lstStyle/>
          <a:p>
            <a:pPr>
              <a:defRPr sz="1000" b="1" i="0" u="none" strike="noStrike" baseline="0">
                <a:solidFill>
                  <a:srgbClr val="000000"/>
                </a:solidFill>
                <a:latin typeface="Times New Roman"/>
                <a:ea typeface="Times New Roman"/>
                <a:cs typeface="Times New Roman"/>
              </a:defRPr>
            </a:pPr>
            <a:endParaRPr lang="fr-FR"/>
          </a:p>
        </c:txPr>
        <c:crossAx val="53089024"/>
        <c:crosses val="autoZero"/>
        <c:auto val="1"/>
        <c:lblAlgn val="ctr"/>
        <c:lblOffset val="100"/>
      </c:catAx>
      <c:valAx>
        <c:axId val="53089024"/>
        <c:scaling>
          <c:orientation val="minMax"/>
          <c:max val="5"/>
          <c:min val="4.4000000000000004"/>
        </c:scaling>
        <c:axPos val="l"/>
        <c:title>
          <c:tx>
            <c:rich>
              <a:bodyPr/>
              <a:lstStyle/>
              <a:p>
                <a:pPr>
                  <a:defRPr sz="1000" b="1" i="0" u="none" strike="noStrike" baseline="0">
                    <a:solidFill>
                      <a:srgbClr val="000000"/>
                    </a:solidFill>
                    <a:latin typeface="Times New Roman"/>
                    <a:ea typeface="Times New Roman"/>
                    <a:cs typeface="Times New Roman"/>
                  </a:defRPr>
                </a:pPr>
                <a:r>
                  <a:rPr lang="fr-FR"/>
                  <a:t>pH</a:t>
                </a:r>
              </a:p>
            </c:rich>
          </c:tx>
          <c:layout/>
        </c:title>
        <c:numFmt formatCode="General" sourceLinked="1"/>
        <c:tickLblPos val="nextTo"/>
        <c:spPr>
          <a:ln w="9525">
            <a:solidFill>
              <a:schemeClr val="tx1"/>
            </a:solidFill>
          </a:ln>
        </c:spPr>
        <c:txPr>
          <a:bodyPr rot="0" vert="horz"/>
          <a:lstStyle/>
          <a:p>
            <a:pPr>
              <a:defRPr sz="1000" b="1" i="0" u="none" strike="noStrike" baseline="0">
                <a:solidFill>
                  <a:srgbClr val="000000"/>
                </a:solidFill>
                <a:latin typeface="Times New Roman"/>
                <a:ea typeface="Times New Roman"/>
                <a:cs typeface="Times New Roman"/>
              </a:defRPr>
            </a:pPr>
            <a:endParaRPr lang="fr-FR"/>
          </a:p>
        </c:txPr>
        <c:crossAx val="53078656"/>
        <c:crosses val="autoZero"/>
        <c:crossBetween val="midCat"/>
        <c:majorUnit val="0.1"/>
      </c:valAx>
    </c:plotArea>
    <c:plotVisOnly val="1"/>
    <c:dispBlanksAs val="gap"/>
  </c:chart>
  <c:spPr>
    <a:ln>
      <a:solidFill>
        <a:schemeClr val="bg1"/>
      </a:solidFill>
    </a:ln>
  </c:spPr>
  <c:txPr>
    <a:bodyPr/>
    <a:lstStyle/>
    <a:p>
      <a:pPr>
        <a:defRPr sz="1000" b="1" i="0" u="none" strike="noStrike" baseline="0">
          <a:solidFill>
            <a:srgbClr val="000000"/>
          </a:solidFill>
          <a:latin typeface="Times New Roman"/>
          <a:ea typeface="Times New Roman"/>
          <a:cs typeface="Times New Roman"/>
        </a:defRPr>
      </a:pPr>
      <a:endParaRPr lang="fr-FR"/>
    </a:p>
  </c:txPr>
  <c:externalData r:id="rId1"/>
  <c:userShapes r:id="rId2"/>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a:pPr>
            <a:r>
              <a:rPr lang="fr-FR" sz="1800"/>
              <a:t>B</a:t>
            </a:r>
          </a:p>
        </c:rich>
      </c:tx>
      <c:layout>
        <c:manualLayout>
          <c:xMode val="edge"/>
          <c:yMode val="edge"/>
          <c:x val="3.69715447562414E-4"/>
          <c:y val="0"/>
        </c:manualLayout>
      </c:layout>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25252006639623781"/>
          <c:y val="0.13256058859958261"/>
          <c:w val="0.68194862270123213"/>
          <c:h val="0.66784384983551381"/>
        </c:manualLayout>
      </c:layout>
      <c:lineChart>
        <c:grouping val="standard"/>
        <c:ser>
          <c:idx val="0"/>
          <c:order val="0"/>
          <c:tx>
            <c:strRef>
              <c:f>Sheet1!$B$20</c:f>
              <c:strCache>
                <c:ptCount val="1"/>
                <c:pt idx="0">
                  <c:v>1 (Temoin)</c:v>
                </c:pt>
              </c:strCache>
            </c:strRef>
          </c:tx>
          <c:spPr>
            <a:ln w="12700"/>
          </c:spPr>
          <c:errBars>
            <c:errDir val="y"/>
            <c:errBarType val="both"/>
            <c:errValType val="cust"/>
            <c:plus>
              <c:numRef>
                <c:f>Sheet1!$I$21:$M$21</c:f>
                <c:numCache>
                  <c:formatCode>General</c:formatCode>
                  <c:ptCount val="5"/>
                  <c:pt idx="0">
                    <c:v>3.1000000000000052E-2</c:v>
                  </c:pt>
                  <c:pt idx="1">
                    <c:v>2.1000000000000012E-2</c:v>
                  </c:pt>
                  <c:pt idx="2">
                    <c:v>2.3E-2</c:v>
                  </c:pt>
                  <c:pt idx="3">
                    <c:v>2.3E-2</c:v>
                  </c:pt>
                  <c:pt idx="4">
                    <c:v>2.0000000000000011E-2</c:v>
                  </c:pt>
                </c:numCache>
              </c:numRef>
            </c:plus>
            <c:minus>
              <c:numRef>
                <c:f>Sheet1!$I$21:$M$21</c:f>
                <c:numCache>
                  <c:formatCode>General</c:formatCode>
                  <c:ptCount val="5"/>
                  <c:pt idx="0">
                    <c:v>3.1000000000000052E-2</c:v>
                  </c:pt>
                  <c:pt idx="1">
                    <c:v>2.1000000000000012E-2</c:v>
                  </c:pt>
                  <c:pt idx="2">
                    <c:v>2.3E-2</c:v>
                  </c:pt>
                  <c:pt idx="3">
                    <c:v>2.3E-2</c:v>
                  </c:pt>
                  <c:pt idx="4">
                    <c:v>2.0000000000000011E-2</c:v>
                  </c:pt>
                </c:numCache>
              </c:numRef>
            </c:minus>
          </c:errBars>
          <c:cat>
            <c:strRef>
              <c:f>Sheet1!$A$21:$A$24</c:f>
              <c:strCache>
                <c:ptCount val="4"/>
                <c:pt idx="0">
                  <c:v>T0</c:v>
                </c:pt>
                <c:pt idx="1">
                  <c:v>T1</c:v>
                </c:pt>
                <c:pt idx="2">
                  <c:v>T2</c:v>
                </c:pt>
                <c:pt idx="3">
                  <c:v>T3</c:v>
                </c:pt>
              </c:strCache>
            </c:strRef>
          </c:cat>
          <c:val>
            <c:numRef>
              <c:f>Sheet1!$B$21:$B$24</c:f>
              <c:numCache>
                <c:formatCode>General</c:formatCode>
                <c:ptCount val="4"/>
                <c:pt idx="0">
                  <c:v>6.9700000000000024</c:v>
                </c:pt>
                <c:pt idx="1">
                  <c:v>7.9300000000000024</c:v>
                </c:pt>
                <c:pt idx="2">
                  <c:v>8.89</c:v>
                </c:pt>
                <c:pt idx="3">
                  <c:v>9.7900000000000009</c:v>
                </c:pt>
              </c:numCache>
            </c:numRef>
          </c:val>
        </c:ser>
        <c:ser>
          <c:idx val="1"/>
          <c:order val="1"/>
          <c:tx>
            <c:strRef>
              <c:f>Sheet1!$C$20</c:f>
              <c:strCache>
                <c:ptCount val="1"/>
                <c:pt idx="0">
                  <c:v>2 (Lactoserum)</c:v>
                </c:pt>
              </c:strCache>
            </c:strRef>
          </c:tx>
          <c:spPr>
            <a:ln w="12700">
              <a:solidFill>
                <a:srgbClr val="FF9900"/>
              </a:solidFill>
            </a:ln>
          </c:spPr>
          <c:marker>
            <c:spPr>
              <a:solidFill>
                <a:srgbClr val="FF9900"/>
              </a:solidFill>
              <a:ln>
                <a:solidFill>
                  <a:srgbClr val="FF9900"/>
                </a:solidFill>
              </a:ln>
            </c:spPr>
          </c:marker>
          <c:errBars>
            <c:errDir val="y"/>
            <c:errBarType val="both"/>
            <c:errValType val="cust"/>
            <c:plus>
              <c:numRef>
                <c:f>Sheet1!$I$22:$M$22</c:f>
                <c:numCache>
                  <c:formatCode>General</c:formatCode>
                  <c:ptCount val="5"/>
                  <c:pt idx="0">
                    <c:v>5.5000000000000014E-2</c:v>
                  </c:pt>
                  <c:pt idx="1">
                    <c:v>5.1999999999999998E-2</c:v>
                  </c:pt>
                  <c:pt idx="2">
                    <c:v>3.9000000000000014E-2</c:v>
                  </c:pt>
                  <c:pt idx="3">
                    <c:v>3.6999999999999998E-2</c:v>
                  </c:pt>
                  <c:pt idx="4">
                    <c:v>3.5999999999999997E-2</c:v>
                  </c:pt>
                </c:numCache>
              </c:numRef>
            </c:plus>
            <c:minus>
              <c:numRef>
                <c:f>Sheet1!$I$22:$M$22</c:f>
                <c:numCache>
                  <c:formatCode>General</c:formatCode>
                  <c:ptCount val="5"/>
                  <c:pt idx="0">
                    <c:v>5.5000000000000014E-2</c:v>
                  </c:pt>
                  <c:pt idx="1">
                    <c:v>5.1999999999999998E-2</c:v>
                  </c:pt>
                  <c:pt idx="2">
                    <c:v>3.9000000000000014E-2</c:v>
                  </c:pt>
                  <c:pt idx="3">
                    <c:v>3.6999999999999998E-2</c:v>
                  </c:pt>
                  <c:pt idx="4">
                    <c:v>3.5999999999999997E-2</c:v>
                  </c:pt>
                </c:numCache>
              </c:numRef>
            </c:minus>
            <c:spPr>
              <a:ln>
                <a:solidFill>
                  <a:srgbClr val="FF9900"/>
                </a:solidFill>
              </a:ln>
            </c:spPr>
          </c:errBars>
          <c:cat>
            <c:strRef>
              <c:f>Sheet1!$A$21:$A$24</c:f>
              <c:strCache>
                <c:ptCount val="4"/>
                <c:pt idx="0">
                  <c:v>T0</c:v>
                </c:pt>
                <c:pt idx="1">
                  <c:v>T1</c:v>
                </c:pt>
                <c:pt idx="2">
                  <c:v>T2</c:v>
                </c:pt>
                <c:pt idx="3">
                  <c:v>T3</c:v>
                </c:pt>
              </c:strCache>
            </c:strRef>
          </c:cat>
          <c:val>
            <c:numRef>
              <c:f>Sheet1!$C$21:$C$24</c:f>
              <c:numCache>
                <c:formatCode>General</c:formatCode>
                <c:ptCount val="4"/>
                <c:pt idx="0">
                  <c:v>6.98</c:v>
                </c:pt>
                <c:pt idx="1">
                  <c:v>8.56</c:v>
                </c:pt>
                <c:pt idx="2">
                  <c:v>9.4600000000000026</c:v>
                </c:pt>
                <c:pt idx="3">
                  <c:v>10.42</c:v>
                </c:pt>
              </c:numCache>
            </c:numRef>
          </c:val>
        </c:ser>
        <c:ser>
          <c:idx val="2"/>
          <c:order val="2"/>
          <c:tx>
            <c:strRef>
              <c:f>Sheet1!$D$20</c:f>
              <c:strCache>
                <c:ptCount val="1"/>
                <c:pt idx="0">
                  <c:v>3 (Promilk)</c:v>
                </c:pt>
              </c:strCache>
            </c:strRef>
          </c:tx>
          <c:spPr>
            <a:ln w="12700">
              <a:solidFill>
                <a:srgbClr val="92D050"/>
              </a:solidFill>
            </a:ln>
          </c:spPr>
          <c:marker>
            <c:spPr>
              <a:solidFill>
                <a:srgbClr val="92D050"/>
              </a:solidFill>
              <a:ln>
                <a:solidFill>
                  <a:srgbClr val="92D050"/>
                </a:solidFill>
              </a:ln>
            </c:spPr>
          </c:marker>
          <c:errBars>
            <c:errDir val="y"/>
            <c:errBarType val="both"/>
            <c:errValType val="cust"/>
            <c:plus>
              <c:numRef>
                <c:f>Sheet1!$I$23:$M$23</c:f>
                <c:numCache>
                  <c:formatCode>General</c:formatCode>
                  <c:ptCount val="5"/>
                  <c:pt idx="0">
                    <c:v>3.3000000000000002E-2</c:v>
                  </c:pt>
                  <c:pt idx="1">
                    <c:v>3.1000000000000052E-2</c:v>
                  </c:pt>
                  <c:pt idx="2">
                    <c:v>4.3999999999999997E-2</c:v>
                  </c:pt>
                  <c:pt idx="3">
                    <c:v>5.1999999999999998E-2</c:v>
                  </c:pt>
                  <c:pt idx="4">
                    <c:v>3.1000000000000052E-2</c:v>
                  </c:pt>
                </c:numCache>
              </c:numRef>
            </c:plus>
            <c:minus>
              <c:numRef>
                <c:f>Sheet1!$I$23:$M$23</c:f>
                <c:numCache>
                  <c:formatCode>General</c:formatCode>
                  <c:ptCount val="5"/>
                  <c:pt idx="0">
                    <c:v>3.3000000000000002E-2</c:v>
                  </c:pt>
                  <c:pt idx="1">
                    <c:v>3.1000000000000052E-2</c:v>
                  </c:pt>
                  <c:pt idx="2">
                    <c:v>4.3999999999999997E-2</c:v>
                  </c:pt>
                  <c:pt idx="3">
                    <c:v>5.1999999999999998E-2</c:v>
                  </c:pt>
                  <c:pt idx="4">
                    <c:v>3.1000000000000052E-2</c:v>
                  </c:pt>
                </c:numCache>
              </c:numRef>
            </c:minus>
          </c:errBars>
          <c:cat>
            <c:strRef>
              <c:f>Sheet1!$A$21:$A$24</c:f>
              <c:strCache>
                <c:ptCount val="4"/>
                <c:pt idx="0">
                  <c:v>T0</c:v>
                </c:pt>
                <c:pt idx="1">
                  <c:v>T1</c:v>
                </c:pt>
                <c:pt idx="2">
                  <c:v>T2</c:v>
                </c:pt>
                <c:pt idx="3">
                  <c:v>T3</c:v>
                </c:pt>
              </c:strCache>
            </c:strRef>
          </c:cat>
          <c:val>
            <c:numRef>
              <c:f>Sheet1!$D$21:$D$24</c:f>
              <c:numCache>
                <c:formatCode>General</c:formatCode>
                <c:ptCount val="4"/>
                <c:pt idx="0">
                  <c:v>6.9700000000000024</c:v>
                </c:pt>
                <c:pt idx="1">
                  <c:v>8.2100000000000009</c:v>
                </c:pt>
                <c:pt idx="2">
                  <c:v>9.07</c:v>
                </c:pt>
                <c:pt idx="3">
                  <c:v>9.94</c:v>
                </c:pt>
              </c:numCache>
            </c:numRef>
          </c:val>
        </c:ser>
        <c:ser>
          <c:idx val="3"/>
          <c:order val="3"/>
          <c:tx>
            <c:strRef>
              <c:f>Sheet1!$E$20</c:f>
              <c:strCache>
                <c:ptCount val="1"/>
                <c:pt idx="0">
                  <c:v>4 (H. Caseine)</c:v>
                </c:pt>
              </c:strCache>
            </c:strRef>
          </c:tx>
          <c:spPr>
            <a:ln w="12700">
              <a:solidFill>
                <a:srgbClr val="990099"/>
              </a:solidFill>
            </a:ln>
          </c:spPr>
          <c:marker>
            <c:spPr>
              <a:solidFill>
                <a:srgbClr val="990099"/>
              </a:solidFill>
              <a:ln>
                <a:solidFill>
                  <a:srgbClr val="990099"/>
                </a:solidFill>
              </a:ln>
            </c:spPr>
          </c:marker>
          <c:errBars>
            <c:errDir val="y"/>
            <c:errBarType val="both"/>
            <c:errValType val="cust"/>
            <c:plus>
              <c:numRef>
                <c:f>Sheet1!$I$24:$M$24</c:f>
                <c:numCache>
                  <c:formatCode>General</c:formatCode>
                  <c:ptCount val="5"/>
                  <c:pt idx="0">
                    <c:v>5.6000000000000001E-2</c:v>
                  </c:pt>
                  <c:pt idx="1">
                    <c:v>3.3000000000000002E-2</c:v>
                  </c:pt>
                  <c:pt idx="2">
                    <c:v>3.4000000000000002E-2</c:v>
                  </c:pt>
                  <c:pt idx="3">
                    <c:v>4.0000000000000022E-2</c:v>
                  </c:pt>
                  <c:pt idx="4">
                    <c:v>2.4E-2</c:v>
                  </c:pt>
                </c:numCache>
              </c:numRef>
            </c:plus>
            <c:minus>
              <c:numRef>
                <c:f>Sheet1!$I$24:$M$24</c:f>
                <c:numCache>
                  <c:formatCode>General</c:formatCode>
                  <c:ptCount val="5"/>
                  <c:pt idx="0">
                    <c:v>5.6000000000000001E-2</c:v>
                  </c:pt>
                  <c:pt idx="1">
                    <c:v>3.3000000000000002E-2</c:v>
                  </c:pt>
                  <c:pt idx="2">
                    <c:v>3.4000000000000002E-2</c:v>
                  </c:pt>
                  <c:pt idx="3">
                    <c:v>4.0000000000000022E-2</c:v>
                  </c:pt>
                  <c:pt idx="4">
                    <c:v>2.4E-2</c:v>
                  </c:pt>
                </c:numCache>
              </c:numRef>
            </c:minus>
          </c:errBars>
          <c:cat>
            <c:strRef>
              <c:f>Sheet1!$A$21:$A$24</c:f>
              <c:strCache>
                <c:ptCount val="4"/>
                <c:pt idx="0">
                  <c:v>T0</c:v>
                </c:pt>
                <c:pt idx="1">
                  <c:v>T1</c:v>
                </c:pt>
                <c:pt idx="2">
                  <c:v>T2</c:v>
                </c:pt>
                <c:pt idx="3">
                  <c:v>T3</c:v>
                </c:pt>
              </c:strCache>
            </c:strRef>
          </c:cat>
          <c:val>
            <c:numRef>
              <c:f>Sheet1!$E$21:$E$24</c:f>
              <c:numCache>
                <c:formatCode>General</c:formatCode>
                <c:ptCount val="4"/>
                <c:pt idx="0">
                  <c:v>6.99</c:v>
                </c:pt>
                <c:pt idx="1">
                  <c:v>8.27</c:v>
                </c:pt>
                <c:pt idx="2">
                  <c:v>9.11</c:v>
                </c:pt>
                <c:pt idx="3">
                  <c:v>10.08</c:v>
                </c:pt>
              </c:numCache>
            </c:numRef>
          </c:val>
        </c:ser>
        <c:ser>
          <c:idx val="4"/>
          <c:order val="4"/>
          <c:tx>
            <c:strRef>
              <c:f>Sheet1!$F$20</c:f>
              <c:strCache>
                <c:ptCount val="1"/>
                <c:pt idx="0">
                  <c:v>5 (H. Proteine)</c:v>
                </c:pt>
              </c:strCache>
            </c:strRef>
          </c:tx>
          <c:spPr>
            <a:ln w="12700">
              <a:solidFill>
                <a:srgbClr val="FF33CC"/>
              </a:solidFill>
            </a:ln>
          </c:spPr>
          <c:marker>
            <c:symbol val="circle"/>
            <c:size val="4"/>
            <c:spPr>
              <a:solidFill>
                <a:srgbClr val="FF33CC"/>
              </a:solidFill>
              <a:ln>
                <a:solidFill>
                  <a:srgbClr val="FF33CC"/>
                </a:solidFill>
              </a:ln>
            </c:spPr>
          </c:marker>
          <c:cat>
            <c:strRef>
              <c:f>Sheet1!$A$21:$A$24</c:f>
              <c:strCache>
                <c:ptCount val="4"/>
                <c:pt idx="0">
                  <c:v>T0</c:v>
                </c:pt>
                <c:pt idx="1">
                  <c:v>T1</c:v>
                </c:pt>
                <c:pt idx="2">
                  <c:v>T2</c:v>
                </c:pt>
                <c:pt idx="3">
                  <c:v>T3</c:v>
                </c:pt>
              </c:strCache>
            </c:strRef>
          </c:cat>
          <c:val>
            <c:numRef>
              <c:f>Sheet1!$F$21:$F$24</c:f>
              <c:numCache>
                <c:formatCode>General</c:formatCode>
                <c:ptCount val="4"/>
                <c:pt idx="0">
                  <c:v>6.99</c:v>
                </c:pt>
                <c:pt idx="1">
                  <c:v>8.33</c:v>
                </c:pt>
                <c:pt idx="2">
                  <c:v>9.27</c:v>
                </c:pt>
                <c:pt idx="3">
                  <c:v>10.18</c:v>
                </c:pt>
              </c:numCache>
            </c:numRef>
          </c:val>
        </c:ser>
        <c:marker val="1"/>
        <c:axId val="54702848"/>
        <c:axId val="54705152"/>
      </c:lineChart>
      <c:catAx>
        <c:axId val="54702848"/>
        <c:scaling>
          <c:orientation val="minMax"/>
        </c:scaling>
        <c:axPos val="b"/>
        <c:title>
          <c:tx>
            <c:rich>
              <a:bodyPr/>
              <a:lstStyle/>
              <a:p>
                <a:pPr>
                  <a:defRPr sz="1000" b="1" i="0" u="none" strike="noStrike" baseline="0">
                    <a:solidFill>
                      <a:srgbClr val="000000"/>
                    </a:solidFill>
                    <a:latin typeface="Times New Roman"/>
                    <a:ea typeface="Times New Roman"/>
                    <a:cs typeface="Times New Roman"/>
                  </a:defRPr>
                </a:pPr>
                <a:r>
                  <a:rPr lang="fr-FR"/>
                  <a:t>Temps</a:t>
                </a:r>
                <a:r>
                  <a:rPr lang="fr-FR" baseline="0"/>
                  <a:t> </a:t>
                </a:r>
                <a:r>
                  <a:rPr lang="fr-FR"/>
                  <a:t>(h)</a:t>
                </a:r>
              </a:p>
            </c:rich>
          </c:tx>
          <c:layout>
            <c:manualLayout>
              <c:xMode val="edge"/>
              <c:yMode val="edge"/>
              <c:x val="0.44892045899309746"/>
              <c:y val="0.91407407407407593"/>
            </c:manualLayout>
          </c:layout>
        </c:title>
        <c:numFmt formatCode="General" sourceLinked="1"/>
        <c:tickLblPos val="nextTo"/>
        <c:spPr>
          <a:ln w="9525">
            <a:solidFill>
              <a:sysClr val="windowText" lastClr="000000"/>
            </a:solidFill>
          </a:ln>
        </c:spPr>
        <c:txPr>
          <a:bodyPr rot="0" vert="horz"/>
          <a:lstStyle/>
          <a:p>
            <a:pPr>
              <a:defRPr sz="1000" b="1" i="0" u="none" strike="noStrike" baseline="0">
                <a:solidFill>
                  <a:srgbClr val="000000"/>
                </a:solidFill>
                <a:latin typeface="Times New Roman"/>
                <a:ea typeface="Times New Roman"/>
                <a:cs typeface="Times New Roman"/>
              </a:defRPr>
            </a:pPr>
            <a:endParaRPr lang="fr-FR"/>
          </a:p>
        </c:txPr>
        <c:crossAx val="54705152"/>
        <c:crosses val="autoZero"/>
        <c:auto val="1"/>
        <c:lblAlgn val="ctr"/>
        <c:lblOffset val="100"/>
      </c:catAx>
      <c:valAx>
        <c:axId val="54705152"/>
        <c:scaling>
          <c:orientation val="minMax"/>
          <c:max val="10.5"/>
          <c:min val="6.5"/>
        </c:scaling>
        <c:axPos val="l"/>
        <c:title>
          <c:tx>
            <c:rich>
              <a:bodyPr/>
              <a:lstStyle/>
              <a:p>
                <a:pPr>
                  <a:defRPr sz="1000" b="1" i="0" u="none" strike="noStrike" baseline="0">
                    <a:solidFill>
                      <a:srgbClr val="000000"/>
                    </a:solidFill>
                    <a:latin typeface="Times New Roman"/>
                    <a:ea typeface="Times New Roman"/>
                    <a:cs typeface="Times New Roman"/>
                  </a:defRPr>
                </a:pPr>
                <a:r>
                  <a:rPr lang="fr-FR"/>
                  <a:t>log UFC/ml</a:t>
                </a:r>
              </a:p>
            </c:rich>
          </c:tx>
          <c:layout/>
        </c:title>
        <c:numFmt formatCode="General" sourceLinked="1"/>
        <c:tickLblPos val="nextTo"/>
        <c:spPr>
          <a:ln w="9525">
            <a:solidFill>
              <a:schemeClr val="tx1"/>
            </a:solidFill>
          </a:ln>
        </c:spPr>
        <c:txPr>
          <a:bodyPr rot="0" vert="horz"/>
          <a:lstStyle/>
          <a:p>
            <a:pPr>
              <a:defRPr sz="1000" b="1" i="0" u="none" strike="noStrike" baseline="0">
                <a:solidFill>
                  <a:srgbClr val="000000"/>
                </a:solidFill>
                <a:latin typeface="Times New Roman"/>
                <a:ea typeface="Times New Roman"/>
                <a:cs typeface="Times New Roman"/>
              </a:defRPr>
            </a:pPr>
            <a:endParaRPr lang="fr-FR"/>
          </a:p>
        </c:txPr>
        <c:crossAx val="54702848"/>
        <c:crosses val="autoZero"/>
        <c:crossBetween val="midCat"/>
        <c:majorUnit val="0.5"/>
      </c:valAx>
    </c:plotArea>
    <c:plotVisOnly val="1"/>
    <c:dispBlanksAs val="gap"/>
  </c:chart>
  <c:spPr>
    <a:ln>
      <a:solidFill>
        <a:schemeClr val="bg1"/>
      </a:solidFill>
    </a:ln>
  </c:spPr>
  <c:txPr>
    <a:bodyPr/>
    <a:lstStyle/>
    <a:p>
      <a:pPr>
        <a:defRPr sz="1000" b="1" i="0" u="none" strike="noStrike" baseline="0">
          <a:solidFill>
            <a:srgbClr val="000000"/>
          </a:solidFill>
          <a:latin typeface="Times New Roman"/>
          <a:ea typeface="Times New Roman"/>
          <a:cs typeface="Times New Roman"/>
        </a:defRPr>
      </a:pPr>
      <a:endParaRPr lang="fr-FR"/>
    </a:p>
  </c:txPr>
  <c:externalData r:id="rId1"/>
  <c:userShapes r:id="rId2"/>
</c:chartSpace>
</file>

<file path=word/charts/chart50.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a:pPr>
            <a:r>
              <a:rPr lang="fr-FR"/>
              <a:t>A</a:t>
            </a:r>
          </a:p>
        </c:rich>
      </c:tx>
      <c:layout>
        <c:manualLayout>
          <c:xMode val="edge"/>
          <c:yMode val="edge"/>
          <c:x val="0"/>
          <c:y val="0"/>
        </c:manualLayout>
      </c:layout>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23305055846121425"/>
          <c:y val="8.7991910847209656E-2"/>
          <c:w val="0.68672607784492068"/>
          <c:h val="0.71265909384278214"/>
        </c:manualLayout>
      </c:layout>
      <c:lineChart>
        <c:grouping val="standard"/>
        <c:ser>
          <c:idx val="0"/>
          <c:order val="0"/>
          <c:tx>
            <c:strRef>
              <c:f>Sheet2!$B$63</c:f>
              <c:strCache>
                <c:ptCount val="1"/>
                <c:pt idx="0">
                  <c:v>1 (Temoin)</c:v>
                </c:pt>
              </c:strCache>
            </c:strRef>
          </c:tx>
          <c:spPr>
            <a:ln w="12700"/>
          </c:spPr>
          <c:errBars>
            <c:errDir val="y"/>
            <c:errBarType val="both"/>
            <c:errValType val="cust"/>
            <c:plus>
              <c:numRef>
                <c:f>Sheet1!$I$29:$M$29</c:f>
                <c:numCache>
                  <c:formatCode>General</c:formatCode>
                  <c:ptCount val="5"/>
                  <c:pt idx="0">
                    <c:v>2.0000000000000011E-2</c:v>
                  </c:pt>
                  <c:pt idx="1">
                    <c:v>2.5999999999999999E-2</c:v>
                  </c:pt>
                  <c:pt idx="2">
                    <c:v>2.0000000000000011E-2</c:v>
                  </c:pt>
                  <c:pt idx="3">
                    <c:v>1.2E-2</c:v>
                  </c:pt>
                  <c:pt idx="4">
                    <c:v>2.1999999999999999E-2</c:v>
                  </c:pt>
                </c:numCache>
              </c:numRef>
            </c:plus>
            <c:minus>
              <c:numRef>
                <c:f>Sheet1!$I$29:$M$29</c:f>
                <c:numCache>
                  <c:formatCode>General</c:formatCode>
                  <c:ptCount val="5"/>
                  <c:pt idx="0">
                    <c:v>2.0000000000000011E-2</c:v>
                  </c:pt>
                  <c:pt idx="1">
                    <c:v>2.5999999999999999E-2</c:v>
                  </c:pt>
                  <c:pt idx="2">
                    <c:v>2.0000000000000011E-2</c:v>
                  </c:pt>
                  <c:pt idx="3">
                    <c:v>1.2E-2</c:v>
                  </c:pt>
                  <c:pt idx="4">
                    <c:v>2.1999999999999999E-2</c:v>
                  </c:pt>
                </c:numCache>
              </c:numRef>
            </c:minus>
          </c:errBars>
          <c:cat>
            <c:strRef>
              <c:f>Sheet2!$A$64:$A$67</c:f>
              <c:strCache>
                <c:ptCount val="4"/>
                <c:pt idx="0">
                  <c:v>7 j</c:v>
                </c:pt>
                <c:pt idx="1">
                  <c:v>14 j</c:v>
                </c:pt>
                <c:pt idx="2">
                  <c:v>21 j</c:v>
                </c:pt>
                <c:pt idx="3">
                  <c:v>28 j</c:v>
                </c:pt>
              </c:strCache>
            </c:strRef>
          </c:cat>
          <c:val>
            <c:numRef>
              <c:f>Sheet2!$B$64:$B$67</c:f>
              <c:numCache>
                <c:formatCode>General</c:formatCode>
                <c:ptCount val="4"/>
                <c:pt idx="0">
                  <c:v>4.9000000000000004</c:v>
                </c:pt>
                <c:pt idx="1">
                  <c:v>4.84</c:v>
                </c:pt>
                <c:pt idx="2">
                  <c:v>4.79</c:v>
                </c:pt>
                <c:pt idx="3">
                  <c:v>4.72</c:v>
                </c:pt>
              </c:numCache>
            </c:numRef>
          </c:val>
        </c:ser>
        <c:ser>
          <c:idx val="1"/>
          <c:order val="1"/>
          <c:tx>
            <c:strRef>
              <c:f>Sheet2!$C$63</c:f>
              <c:strCache>
                <c:ptCount val="1"/>
                <c:pt idx="0">
                  <c:v>2 (Lactoserum)</c:v>
                </c:pt>
              </c:strCache>
            </c:strRef>
          </c:tx>
          <c:spPr>
            <a:ln w="12700">
              <a:solidFill>
                <a:srgbClr val="FF9900"/>
              </a:solidFill>
            </a:ln>
          </c:spPr>
          <c:marker>
            <c:symbol val="square"/>
            <c:size val="4"/>
            <c:spPr>
              <a:solidFill>
                <a:srgbClr val="FF9900"/>
              </a:solidFill>
              <a:ln>
                <a:solidFill>
                  <a:srgbClr val="FF9900"/>
                </a:solidFill>
              </a:ln>
            </c:spPr>
          </c:marker>
          <c:errBars>
            <c:errDir val="y"/>
            <c:errBarType val="both"/>
            <c:errValType val="cust"/>
            <c:plus>
              <c:numRef>
                <c:f>Sheet1!$I$30:$M$30</c:f>
                <c:numCache>
                  <c:formatCode>General</c:formatCode>
                  <c:ptCount val="5"/>
                  <c:pt idx="0">
                    <c:v>1.7000000000000001E-2</c:v>
                  </c:pt>
                  <c:pt idx="1">
                    <c:v>2.5000000000000001E-2</c:v>
                  </c:pt>
                  <c:pt idx="2">
                    <c:v>1.6000000000000021E-2</c:v>
                  </c:pt>
                  <c:pt idx="3">
                    <c:v>1.7999999999999999E-2</c:v>
                  </c:pt>
                  <c:pt idx="4">
                    <c:v>1.6000000000000021E-2</c:v>
                  </c:pt>
                </c:numCache>
              </c:numRef>
            </c:plus>
            <c:minus>
              <c:numRef>
                <c:f>Sheet1!$I$30:$M$30</c:f>
                <c:numCache>
                  <c:formatCode>General</c:formatCode>
                  <c:ptCount val="5"/>
                  <c:pt idx="0">
                    <c:v>1.7000000000000001E-2</c:v>
                  </c:pt>
                  <c:pt idx="1">
                    <c:v>2.5000000000000001E-2</c:v>
                  </c:pt>
                  <c:pt idx="2">
                    <c:v>1.6000000000000021E-2</c:v>
                  </c:pt>
                  <c:pt idx="3">
                    <c:v>1.7999999999999999E-2</c:v>
                  </c:pt>
                  <c:pt idx="4">
                    <c:v>1.6000000000000021E-2</c:v>
                  </c:pt>
                </c:numCache>
              </c:numRef>
            </c:minus>
          </c:errBars>
          <c:cat>
            <c:strRef>
              <c:f>Sheet2!$A$64:$A$67</c:f>
              <c:strCache>
                <c:ptCount val="4"/>
                <c:pt idx="0">
                  <c:v>7 j</c:v>
                </c:pt>
                <c:pt idx="1">
                  <c:v>14 j</c:v>
                </c:pt>
                <c:pt idx="2">
                  <c:v>21 j</c:v>
                </c:pt>
                <c:pt idx="3">
                  <c:v>28 j</c:v>
                </c:pt>
              </c:strCache>
            </c:strRef>
          </c:cat>
          <c:val>
            <c:numRef>
              <c:f>Sheet2!$C$64:$C$67</c:f>
              <c:numCache>
                <c:formatCode>General</c:formatCode>
                <c:ptCount val="4"/>
                <c:pt idx="0">
                  <c:v>4.6899999999999995</c:v>
                </c:pt>
                <c:pt idx="1">
                  <c:v>4.6399999999999997</c:v>
                </c:pt>
                <c:pt idx="2">
                  <c:v>4.5999999999999996</c:v>
                </c:pt>
                <c:pt idx="3">
                  <c:v>4.5199999999999996</c:v>
                </c:pt>
              </c:numCache>
            </c:numRef>
          </c:val>
        </c:ser>
        <c:ser>
          <c:idx val="2"/>
          <c:order val="2"/>
          <c:tx>
            <c:strRef>
              <c:f>Sheet2!$D$63</c:f>
              <c:strCache>
                <c:ptCount val="1"/>
                <c:pt idx="0">
                  <c:v>3 (Promilk)</c:v>
                </c:pt>
              </c:strCache>
            </c:strRef>
          </c:tx>
          <c:spPr>
            <a:ln w="12700">
              <a:solidFill>
                <a:srgbClr val="92D050"/>
              </a:solidFill>
            </a:ln>
          </c:spPr>
          <c:marker>
            <c:spPr>
              <a:solidFill>
                <a:srgbClr val="92D050"/>
              </a:solidFill>
              <a:ln>
                <a:solidFill>
                  <a:srgbClr val="92D050"/>
                </a:solidFill>
              </a:ln>
            </c:spPr>
          </c:marker>
          <c:errBars>
            <c:errDir val="y"/>
            <c:errBarType val="both"/>
            <c:errValType val="cust"/>
            <c:plus>
              <c:numRef>
                <c:f>Sheet1!$I$31:$M$31</c:f>
                <c:numCache>
                  <c:formatCode>General</c:formatCode>
                  <c:ptCount val="5"/>
                  <c:pt idx="0">
                    <c:v>2.0000000000000011E-2</c:v>
                  </c:pt>
                  <c:pt idx="1">
                    <c:v>1.90000000000001E-2</c:v>
                  </c:pt>
                  <c:pt idx="2">
                    <c:v>1.90000000000001E-2</c:v>
                  </c:pt>
                  <c:pt idx="3">
                    <c:v>1.7000000000000001E-2</c:v>
                  </c:pt>
                  <c:pt idx="4">
                    <c:v>1.6000000000000021E-2</c:v>
                  </c:pt>
                </c:numCache>
              </c:numRef>
            </c:plus>
            <c:minus>
              <c:numRef>
                <c:f>Sheet1!$I$31:$M$31</c:f>
                <c:numCache>
                  <c:formatCode>General</c:formatCode>
                  <c:ptCount val="5"/>
                  <c:pt idx="0">
                    <c:v>2.0000000000000011E-2</c:v>
                  </c:pt>
                  <c:pt idx="1">
                    <c:v>1.90000000000001E-2</c:v>
                  </c:pt>
                  <c:pt idx="2">
                    <c:v>1.90000000000001E-2</c:v>
                  </c:pt>
                  <c:pt idx="3">
                    <c:v>1.7000000000000001E-2</c:v>
                  </c:pt>
                  <c:pt idx="4">
                    <c:v>1.6000000000000021E-2</c:v>
                  </c:pt>
                </c:numCache>
              </c:numRef>
            </c:minus>
          </c:errBars>
          <c:cat>
            <c:strRef>
              <c:f>Sheet2!$A$64:$A$67</c:f>
              <c:strCache>
                <c:ptCount val="4"/>
                <c:pt idx="0">
                  <c:v>7 j</c:v>
                </c:pt>
                <c:pt idx="1">
                  <c:v>14 j</c:v>
                </c:pt>
                <c:pt idx="2">
                  <c:v>21 j</c:v>
                </c:pt>
                <c:pt idx="3">
                  <c:v>28 j</c:v>
                </c:pt>
              </c:strCache>
            </c:strRef>
          </c:cat>
          <c:val>
            <c:numRef>
              <c:f>Sheet2!$D$64:$D$67</c:f>
              <c:numCache>
                <c:formatCode>General</c:formatCode>
                <c:ptCount val="4"/>
                <c:pt idx="0">
                  <c:v>4.83</c:v>
                </c:pt>
                <c:pt idx="1">
                  <c:v>4.79</c:v>
                </c:pt>
                <c:pt idx="2">
                  <c:v>4.7300000000000004</c:v>
                </c:pt>
                <c:pt idx="3">
                  <c:v>4.6099999999999985</c:v>
                </c:pt>
              </c:numCache>
            </c:numRef>
          </c:val>
        </c:ser>
        <c:ser>
          <c:idx val="3"/>
          <c:order val="3"/>
          <c:tx>
            <c:strRef>
              <c:f>Sheet2!$E$63</c:f>
              <c:strCache>
                <c:ptCount val="1"/>
                <c:pt idx="0">
                  <c:v>4 (H. Caseine)</c:v>
                </c:pt>
              </c:strCache>
            </c:strRef>
          </c:tx>
          <c:spPr>
            <a:ln w="12700">
              <a:solidFill>
                <a:srgbClr val="990099"/>
              </a:solidFill>
            </a:ln>
          </c:spPr>
          <c:marker>
            <c:spPr>
              <a:solidFill>
                <a:srgbClr val="990099"/>
              </a:solidFill>
              <a:ln>
                <a:solidFill>
                  <a:srgbClr val="990099"/>
                </a:solidFill>
              </a:ln>
            </c:spPr>
          </c:marker>
          <c:errBars>
            <c:errDir val="y"/>
            <c:errBarType val="both"/>
            <c:errValType val="cust"/>
            <c:plus>
              <c:numRef>
                <c:f>Sheet1!$I$32:$M$32</c:f>
                <c:numCache>
                  <c:formatCode>General</c:formatCode>
                  <c:ptCount val="5"/>
                  <c:pt idx="0">
                    <c:v>2.1000000000000012E-2</c:v>
                  </c:pt>
                  <c:pt idx="1">
                    <c:v>1.7000000000000001E-2</c:v>
                  </c:pt>
                  <c:pt idx="2">
                    <c:v>1.7999999999999999E-2</c:v>
                  </c:pt>
                  <c:pt idx="3">
                    <c:v>1.90000000000001E-2</c:v>
                  </c:pt>
                  <c:pt idx="4">
                    <c:v>1.7000000000000001E-2</c:v>
                  </c:pt>
                </c:numCache>
              </c:numRef>
            </c:plus>
            <c:minus>
              <c:numRef>
                <c:f>Sheet1!$I$32:$M$32</c:f>
                <c:numCache>
                  <c:formatCode>General</c:formatCode>
                  <c:ptCount val="5"/>
                  <c:pt idx="0">
                    <c:v>2.1000000000000012E-2</c:v>
                  </c:pt>
                  <c:pt idx="1">
                    <c:v>1.7000000000000001E-2</c:v>
                  </c:pt>
                  <c:pt idx="2">
                    <c:v>1.7999999999999999E-2</c:v>
                  </c:pt>
                  <c:pt idx="3">
                    <c:v>1.90000000000001E-2</c:v>
                  </c:pt>
                  <c:pt idx="4">
                    <c:v>1.7000000000000001E-2</c:v>
                  </c:pt>
                </c:numCache>
              </c:numRef>
            </c:minus>
          </c:errBars>
          <c:cat>
            <c:strRef>
              <c:f>Sheet2!$A$64:$A$67</c:f>
              <c:strCache>
                <c:ptCount val="4"/>
                <c:pt idx="0">
                  <c:v>7 j</c:v>
                </c:pt>
                <c:pt idx="1">
                  <c:v>14 j</c:v>
                </c:pt>
                <c:pt idx="2">
                  <c:v>21 j</c:v>
                </c:pt>
                <c:pt idx="3">
                  <c:v>28 j</c:v>
                </c:pt>
              </c:strCache>
            </c:strRef>
          </c:cat>
          <c:val>
            <c:numRef>
              <c:f>Sheet2!$E$64:$E$67</c:f>
              <c:numCache>
                <c:formatCode>General</c:formatCode>
                <c:ptCount val="4"/>
                <c:pt idx="0">
                  <c:v>4.8599999999999985</c:v>
                </c:pt>
                <c:pt idx="1">
                  <c:v>4.8199999999999985</c:v>
                </c:pt>
                <c:pt idx="2">
                  <c:v>4.78</c:v>
                </c:pt>
                <c:pt idx="3">
                  <c:v>4.68</c:v>
                </c:pt>
              </c:numCache>
            </c:numRef>
          </c:val>
        </c:ser>
        <c:ser>
          <c:idx val="4"/>
          <c:order val="4"/>
          <c:tx>
            <c:strRef>
              <c:f>Sheet2!$F$63</c:f>
              <c:strCache>
                <c:ptCount val="1"/>
                <c:pt idx="0">
                  <c:v>5 (H. Proteine)</c:v>
                </c:pt>
              </c:strCache>
            </c:strRef>
          </c:tx>
          <c:spPr>
            <a:ln w="12700">
              <a:solidFill>
                <a:srgbClr val="FF33CC"/>
              </a:solidFill>
            </a:ln>
          </c:spPr>
          <c:marker>
            <c:symbol val="circle"/>
            <c:size val="4"/>
            <c:spPr>
              <a:solidFill>
                <a:srgbClr val="FF33CC"/>
              </a:solidFill>
              <a:ln>
                <a:solidFill>
                  <a:srgbClr val="FF33CC"/>
                </a:solidFill>
              </a:ln>
            </c:spPr>
          </c:marker>
          <c:cat>
            <c:strRef>
              <c:f>Sheet2!$A$64:$A$67</c:f>
              <c:strCache>
                <c:ptCount val="4"/>
                <c:pt idx="0">
                  <c:v>7 j</c:v>
                </c:pt>
                <c:pt idx="1">
                  <c:v>14 j</c:v>
                </c:pt>
                <c:pt idx="2">
                  <c:v>21 j</c:v>
                </c:pt>
                <c:pt idx="3">
                  <c:v>28 j</c:v>
                </c:pt>
              </c:strCache>
            </c:strRef>
          </c:cat>
          <c:val>
            <c:numRef>
              <c:f>Sheet2!$F$64:$F$67</c:f>
              <c:numCache>
                <c:formatCode>General</c:formatCode>
                <c:ptCount val="4"/>
                <c:pt idx="0">
                  <c:v>4.84</c:v>
                </c:pt>
                <c:pt idx="1">
                  <c:v>4.8</c:v>
                </c:pt>
                <c:pt idx="2">
                  <c:v>4.75</c:v>
                </c:pt>
                <c:pt idx="3">
                  <c:v>4.6599999999999975</c:v>
                </c:pt>
              </c:numCache>
            </c:numRef>
          </c:val>
        </c:ser>
        <c:marker val="1"/>
        <c:axId val="53146368"/>
        <c:axId val="53148672"/>
      </c:lineChart>
      <c:catAx>
        <c:axId val="53146368"/>
        <c:scaling>
          <c:orientation val="minMax"/>
        </c:scaling>
        <c:axPos val="b"/>
        <c:title>
          <c:tx>
            <c:rich>
              <a:bodyPr/>
              <a:lstStyle/>
              <a:p>
                <a:pPr>
                  <a:defRPr/>
                </a:pPr>
                <a:r>
                  <a:rPr lang="en-US"/>
                  <a:t>Entreposage à +4°c en jours</a:t>
                </a:r>
              </a:p>
            </c:rich>
          </c:tx>
          <c:layout>
            <c:manualLayout>
              <c:xMode val="edge"/>
              <c:yMode val="edge"/>
              <c:x val="0.29182213537176765"/>
              <c:y val="0.91797340906157265"/>
            </c:manualLayout>
          </c:layout>
        </c:title>
        <c:numFmt formatCode="General" sourceLinked="1"/>
        <c:tickLblPos val="nextTo"/>
        <c:spPr>
          <a:ln w="9525">
            <a:solidFill>
              <a:sysClr val="windowText" lastClr="000000"/>
            </a:solidFill>
          </a:ln>
        </c:spPr>
        <c:txPr>
          <a:bodyPr/>
          <a:lstStyle/>
          <a:p>
            <a:pPr>
              <a:defRPr b="1" i="0" baseline="0"/>
            </a:pPr>
            <a:endParaRPr lang="fr-FR"/>
          </a:p>
        </c:txPr>
        <c:crossAx val="53148672"/>
        <c:crosses val="autoZero"/>
        <c:auto val="1"/>
        <c:lblAlgn val="ctr"/>
        <c:lblOffset val="100"/>
      </c:catAx>
      <c:valAx>
        <c:axId val="53148672"/>
        <c:scaling>
          <c:orientation val="minMax"/>
          <c:max val="5"/>
          <c:min val="4.4000000000000004"/>
        </c:scaling>
        <c:axPos val="l"/>
        <c:title>
          <c:tx>
            <c:rich>
              <a:bodyPr rot="-5400000" vert="horz"/>
              <a:lstStyle/>
              <a:p>
                <a:pPr>
                  <a:defRPr/>
                </a:pPr>
                <a:r>
                  <a:rPr lang="en-US"/>
                  <a:t>pH</a:t>
                </a:r>
              </a:p>
            </c:rich>
          </c:tx>
          <c:layout/>
        </c:title>
        <c:numFmt formatCode="General" sourceLinked="1"/>
        <c:tickLblPos val="nextTo"/>
        <c:spPr>
          <a:ln w="9525">
            <a:solidFill>
              <a:schemeClr val="tx1"/>
            </a:solidFill>
          </a:ln>
        </c:spPr>
        <c:txPr>
          <a:bodyPr/>
          <a:lstStyle/>
          <a:p>
            <a:pPr>
              <a:defRPr b="1" i="0" baseline="0"/>
            </a:pPr>
            <a:endParaRPr lang="fr-FR"/>
          </a:p>
        </c:txPr>
        <c:crossAx val="53146368"/>
        <c:crosses val="autoZero"/>
        <c:crossBetween val="midCat"/>
        <c:majorUnit val="0.1"/>
      </c:valAx>
    </c:plotArea>
    <c:plotVisOnly val="1"/>
    <c:dispBlanksAs val="gap"/>
  </c:chart>
  <c:spPr>
    <a:ln>
      <a:solidFill>
        <a:schemeClr val="bg1"/>
      </a:solidFill>
    </a:ln>
  </c:spPr>
  <c:txPr>
    <a:bodyPr/>
    <a:lstStyle/>
    <a:p>
      <a:pPr>
        <a:defRPr>
          <a:latin typeface="Times New Roman" pitchFamily="18" charset="0"/>
          <a:cs typeface="Times New Roman" pitchFamily="18" charset="0"/>
        </a:defRPr>
      </a:pPr>
      <a:endParaRPr lang="fr-FR"/>
    </a:p>
  </c:txPr>
  <c:externalData r:id="rId1"/>
  <c:userShapes r:id="rId2"/>
</c:chartSpace>
</file>

<file path=word/charts/chart51.xml><?xml version="1.0" encoding="utf-8"?>
<c:chartSpace xmlns:c="http://schemas.openxmlformats.org/drawingml/2006/chart" xmlns:a="http://schemas.openxmlformats.org/drawingml/2006/main" xmlns:r="http://schemas.openxmlformats.org/officeDocument/2006/relationships">
  <c:date1904 val="1"/>
  <c:lang val="fr-FR"/>
  <c:style val="26"/>
  <c:chart>
    <c:title>
      <c:tx>
        <c:rich>
          <a:bodyPr/>
          <a:lstStyle/>
          <a:p>
            <a:pPr>
              <a:defRPr/>
            </a:pPr>
            <a:r>
              <a:rPr lang="fr-FR" sz="1800" b="0">
                <a:latin typeface="Times New Roman" pitchFamily="18" charset="0"/>
                <a:cs typeface="Times New Roman" pitchFamily="18" charset="0"/>
              </a:rPr>
              <a:t>E</a:t>
            </a:r>
          </a:p>
        </c:rich>
      </c:tx>
      <c:layout>
        <c:manualLayout>
          <c:xMode val="edge"/>
          <c:yMode val="edge"/>
          <c:x val="3.0423287998091082E-3"/>
          <c:y val="0"/>
        </c:manualLayout>
      </c:layout>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21781951801479371"/>
          <c:y val="0.1315870798408264"/>
          <c:w val="0.75624223335719676"/>
          <c:h val="0.6850355600711201"/>
        </c:manualLayout>
      </c:layout>
      <c:barChart>
        <c:barDir val="col"/>
        <c:grouping val="clustered"/>
        <c:ser>
          <c:idx val="0"/>
          <c:order val="0"/>
          <c:tx>
            <c:strRef>
              <c:f>Feuil1!$B$153</c:f>
              <c:strCache>
                <c:ptCount val="1"/>
                <c:pt idx="0">
                  <c:v>1 (Temoin)</c:v>
                </c:pt>
              </c:strCache>
            </c:strRef>
          </c:tx>
          <c:spPr>
            <a:solidFill>
              <a:srgbClr val="0070C0"/>
            </a:solidFill>
            <a:ln>
              <a:solidFill>
                <a:srgbClr val="0070C0"/>
              </a:solidFill>
            </a:ln>
          </c:spPr>
          <c:errBars>
            <c:errBarType val="both"/>
            <c:errValType val="cust"/>
            <c:plus>
              <c:numRef>
                <c:f>Sheet1!$I$61:$I$64</c:f>
                <c:numCache>
                  <c:formatCode>General</c:formatCode>
                  <c:ptCount val="4"/>
                  <c:pt idx="0">
                    <c:v>0</c:v>
                  </c:pt>
                  <c:pt idx="1">
                    <c:v>7.8000000000000014E-2</c:v>
                  </c:pt>
                  <c:pt idx="2">
                    <c:v>4.9000000000000113E-2</c:v>
                  </c:pt>
                  <c:pt idx="3">
                    <c:v>4.7000000000000014E-2</c:v>
                  </c:pt>
                </c:numCache>
              </c:numRef>
            </c:plus>
            <c:minus>
              <c:numRef>
                <c:f>Sheet1!$I$61:$I$64</c:f>
                <c:numCache>
                  <c:formatCode>General</c:formatCode>
                  <c:ptCount val="4"/>
                  <c:pt idx="0">
                    <c:v>0</c:v>
                  </c:pt>
                  <c:pt idx="1">
                    <c:v>7.8000000000000014E-2</c:v>
                  </c:pt>
                  <c:pt idx="2">
                    <c:v>4.9000000000000113E-2</c:v>
                  </c:pt>
                  <c:pt idx="3">
                    <c:v>4.7000000000000014E-2</c:v>
                  </c:pt>
                </c:numCache>
              </c:numRef>
            </c:minus>
          </c:errBars>
          <c:cat>
            <c:strRef>
              <c:f>Feuil1!$A$154:$A$157</c:f>
              <c:strCache>
                <c:ptCount val="4"/>
                <c:pt idx="0">
                  <c:v>7 j</c:v>
                </c:pt>
                <c:pt idx="1">
                  <c:v>14 j</c:v>
                </c:pt>
                <c:pt idx="2">
                  <c:v>21 j</c:v>
                </c:pt>
                <c:pt idx="3">
                  <c:v>28 j</c:v>
                </c:pt>
              </c:strCache>
            </c:strRef>
          </c:cat>
          <c:val>
            <c:numRef>
              <c:f>Feuil1!$B$154:$B$157</c:f>
              <c:numCache>
                <c:formatCode>General</c:formatCode>
                <c:ptCount val="4"/>
                <c:pt idx="0">
                  <c:v>7.33</c:v>
                </c:pt>
                <c:pt idx="1">
                  <c:v>6.91</c:v>
                </c:pt>
                <c:pt idx="2">
                  <c:v>6.48</c:v>
                </c:pt>
                <c:pt idx="3">
                  <c:v>5.81</c:v>
                </c:pt>
              </c:numCache>
            </c:numRef>
          </c:val>
        </c:ser>
        <c:ser>
          <c:idx val="1"/>
          <c:order val="1"/>
          <c:tx>
            <c:strRef>
              <c:f>Feuil1!$C$153</c:f>
              <c:strCache>
                <c:ptCount val="1"/>
                <c:pt idx="0">
                  <c:v>2 (Lactoserum)</c:v>
                </c:pt>
              </c:strCache>
            </c:strRef>
          </c:tx>
          <c:spPr>
            <a:solidFill>
              <a:srgbClr val="FF9900"/>
            </a:solidFill>
            <a:ln>
              <a:solidFill>
                <a:srgbClr val="FF9900"/>
              </a:solidFill>
            </a:ln>
          </c:spPr>
          <c:errBars>
            <c:errBarType val="both"/>
            <c:errValType val="cust"/>
            <c:plus>
              <c:numRef>
                <c:f>Sheet1!$J$61:$J$64</c:f>
                <c:numCache>
                  <c:formatCode>General</c:formatCode>
                  <c:ptCount val="4"/>
                  <c:pt idx="0">
                    <c:v>0</c:v>
                  </c:pt>
                  <c:pt idx="1">
                    <c:v>4.1000000000000002E-2</c:v>
                  </c:pt>
                  <c:pt idx="2">
                    <c:v>3.3000000000000002E-2</c:v>
                  </c:pt>
                  <c:pt idx="3">
                    <c:v>3.9000000000000014E-2</c:v>
                  </c:pt>
                </c:numCache>
              </c:numRef>
            </c:plus>
            <c:minus>
              <c:numRef>
                <c:f>Sheet1!$J$61:$J$64</c:f>
                <c:numCache>
                  <c:formatCode>General</c:formatCode>
                  <c:ptCount val="4"/>
                  <c:pt idx="0">
                    <c:v>0</c:v>
                  </c:pt>
                  <c:pt idx="1">
                    <c:v>4.1000000000000002E-2</c:v>
                  </c:pt>
                  <c:pt idx="2">
                    <c:v>3.3000000000000002E-2</c:v>
                  </c:pt>
                  <c:pt idx="3">
                    <c:v>3.9000000000000014E-2</c:v>
                  </c:pt>
                </c:numCache>
              </c:numRef>
            </c:minus>
          </c:errBars>
          <c:cat>
            <c:strRef>
              <c:f>Feuil1!$A$154:$A$157</c:f>
              <c:strCache>
                <c:ptCount val="4"/>
                <c:pt idx="0">
                  <c:v>7 j</c:v>
                </c:pt>
                <c:pt idx="1">
                  <c:v>14 j</c:v>
                </c:pt>
                <c:pt idx="2">
                  <c:v>21 j</c:v>
                </c:pt>
                <c:pt idx="3">
                  <c:v>28 j</c:v>
                </c:pt>
              </c:strCache>
            </c:strRef>
          </c:cat>
          <c:val>
            <c:numRef>
              <c:f>Feuil1!$C$154:$C$157</c:f>
              <c:numCache>
                <c:formatCode>General</c:formatCode>
                <c:ptCount val="4"/>
                <c:pt idx="0">
                  <c:v>9.5</c:v>
                </c:pt>
                <c:pt idx="1">
                  <c:v>8.8500000000000068</c:v>
                </c:pt>
                <c:pt idx="2">
                  <c:v>8.65</c:v>
                </c:pt>
                <c:pt idx="3">
                  <c:v>8.2100000000000009</c:v>
                </c:pt>
              </c:numCache>
            </c:numRef>
          </c:val>
        </c:ser>
        <c:ser>
          <c:idx val="2"/>
          <c:order val="2"/>
          <c:tx>
            <c:strRef>
              <c:f>Feuil1!$D$153</c:f>
              <c:strCache>
                <c:ptCount val="1"/>
                <c:pt idx="0">
                  <c:v>3 (Promilk)</c:v>
                </c:pt>
              </c:strCache>
            </c:strRef>
          </c:tx>
          <c:spPr>
            <a:solidFill>
              <a:srgbClr val="92D050"/>
            </a:solidFill>
            <a:ln>
              <a:solidFill>
                <a:srgbClr val="92D050"/>
              </a:solidFill>
            </a:ln>
          </c:spPr>
          <c:errBars>
            <c:errBarType val="both"/>
            <c:errValType val="cust"/>
            <c:plus>
              <c:numRef>
                <c:f>Sheet1!$K$61:$K$64</c:f>
                <c:numCache>
                  <c:formatCode>General</c:formatCode>
                  <c:ptCount val="4"/>
                  <c:pt idx="0">
                    <c:v>0</c:v>
                  </c:pt>
                  <c:pt idx="1">
                    <c:v>4.7000000000000014E-2</c:v>
                  </c:pt>
                  <c:pt idx="2">
                    <c:v>5.3999999999999999E-2</c:v>
                  </c:pt>
                  <c:pt idx="3">
                    <c:v>6.1000000000000013E-2</c:v>
                  </c:pt>
                </c:numCache>
              </c:numRef>
            </c:plus>
            <c:minus>
              <c:numRef>
                <c:f>Sheet1!$K$61:$K$64</c:f>
                <c:numCache>
                  <c:formatCode>General</c:formatCode>
                  <c:ptCount val="4"/>
                  <c:pt idx="0">
                    <c:v>0</c:v>
                  </c:pt>
                  <c:pt idx="1">
                    <c:v>4.7000000000000014E-2</c:v>
                  </c:pt>
                  <c:pt idx="2">
                    <c:v>5.3999999999999999E-2</c:v>
                  </c:pt>
                  <c:pt idx="3">
                    <c:v>6.1000000000000013E-2</c:v>
                  </c:pt>
                </c:numCache>
              </c:numRef>
            </c:minus>
          </c:errBars>
          <c:cat>
            <c:strRef>
              <c:f>Feuil1!$A$154:$A$157</c:f>
              <c:strCache>
                <c:ptCount val="4"/>
                <c:pt idx="0">
                  <c:v>7 j</c:v>
                </c:pt>
                <c:pt idx="1">
                  <c:v>14 j</c:v>
                </c:pt>
                <c:pt idx="2">
                  <c:v>21 j</c:v>
                </c:pt>
                <c:pt idx="3">
                  <c:v>28 j</c:v>
                </c:pt>
              </c:strCache>
            </c:strRef>
          </c:cat>
          <c:val>
            <c:numRef>
              <c:f>Feuil1!$D$154:$D$157</c:f>
              <c:numCache>
                <c:formatCode>General</c:formatCode>
                <c:ptCount val="4"/>
                <c:pt idx="0">
                  <c:v>8.120000000000001</c:v>
                </c:pt>
                <c:pt idx="1">
                  <c:v>7.42</c:v>
                </c:pt>
                <c:pt idx="2">
                  <c:v>7.1199999999999966</c:v>
                </c:pt>
                <c:pt idx="3">
                  <c:v>6.6499999999999995</c:v>
                </c:pt>
              </c:numCache>
            </c:numRef>
          </c:val>
        </c:ser>
        <c:ser>
          <c:idx val="3"/>
          <c:order val="3"/>
          <c:tx>
            <c:strRef>
              <c:f>Feuil1!$E$153</c:f>
              <c:strCache>
                <c:ptCount val="1"/>
                <c:pt idx="0">
                  <c:v>4 (H. Caseine)</c:v>
                </c:pt>
              </c:strCache>
            </c:strRef>
          </c:tx>
          <c:spPr>
            <a:solidFill>
              <a:srgbClr val="990099"/>
            </a:solidFill>
            <a:ln>
              <a:solidFill>
                <a:srgbClr val="990099"/>
              </a:solidFill>
            </a:ln>
          </c:spPr>
          <c:errBars>
            <c:errBarType val="both"/>
            <c:errValType val="cust"/>
            <c:plus>
              <c:numRef>
                <c:f>Sheet1!$L$61:$L$64</c:f>
                <c:numCache>
                  <c:formatCode>General</c:formatCode>
                  <c:ptCount val="4"/>
                  <c:pt idx="0">
                    <c:v>0</c:v>
                  </c:pt>
                  <c:pt idx="1">
                    <c:v>2.8000000000000001E-2</c:v>
                  </c:pt>
                  <c:pt idx="2">
                    <c:v>3.0000000000000002E-2</c:v>
                  </c:pt>
                  <c:pt idx="3">
                    <c:v>3.2000000000000042E-2</c:v>
                  </c:pt>
                </c:numCache>
              </c:numRef>
            </c:plus>
            <c:minus>
              <c:numRef>
                <c:f>Sheet1!$L$61:$L$64</c:f>
                <c:numCache>
                  <c:formatCode>General</c:formatCode>
                  <c:ptCount val="4"/>
                  <c:pt idx="0">
                    <c:v>0</c:v>
                  </c:pt>
                  <c:pt idx="1">
                    <c:v>2.8000000000000001E-2</c:v>
                  </c:pt>
                  <c:pt idx="2">
                    <c:v>3.0000000000000002E-2</c:v>
                  </c:pt>
                  <c:pt idx="3">
                    <c:v>3.2000000000000042E-2</c:v>
                  </c:pt>
                </c:numCache>
              </c:numRef>
            </c:minus>
          </c:errBars>
          <c:cat>
            <c:strRef>
              <c:f>Feuil1!$A$154:$A$157</c:f>
              <c:strCache>
                <c:ptCount val="4"/>
                <c:pt idx="0">
                  <c:v>7 j</c:v>
                </c:pt>
                <c:pt idx="1">
                  <c:v>14 j</c:v>
                </c:pt>
                <c:pt idx="2">
                  <c:v>21 j</c:v>
                </c:pt>
                <c:pt idx="3">
                  <c:v>28 j</c:v>
                </c:pt>
              </c:strCache>
            </c:strRef>
          </c:cat>
          <c:val>
            <c:numRef>
              <c:f>Feuil1!$E$154:$E$157</c:f>
              <c:numCache>
                <c:formatCode>General</c:formatCode>
                <c:ptCount val="4"/>
                <c:pt idx="0">
                  <c:v>8.3700000000000028</c:v>
                </c:pt>
                <c:pt idx="1">
                  <c:v>7.94</c:v>
                </c:pt>
                <c:pt idx="2">
                  <c:v>7.42</c:v>
                </c:pt>
                <c:pt idx="3">
                  <c:v>7.21</c:v>
                </c:pt>
              </c:numCache>
            </c:numRef>
          </c:val>
        </c:ser>
        <c:ser>
          <c:idx val="4"/>
          <c:order val="4"/>
          <c:tx>
            <c:strRef>
              <c:f>Feuil1!$F$153</c:f>
              <c:strCache>
                <c:ptCount val="1"/>
                <c:pt idx="0">
                  <c:v>5 (H. Proteine)</c:v>
                </c:pt>
              </c:strCache>
            </c:strRef>
          </c:tx>
          <c:spPr>
            <a:solidFill>
              <a:srgbClr val="FF33CC"/>
            </a:solidFill>
            <a:ln>
              <a:solidFill>
                <a:srgbClr val="FF33CC"/>
              </a:solidFill>
            </a:ln>
          </c:spPr>
          <c:errBars>
            <c:errBarType val="both"/>
            <c:errValType val="cust"/>
            <c:plus>
              <c:numRef>
                <c:f>Sheet1!$M$61:$M$64</c:f>
                <c:numCache>
                  <c:formatCode>General</c:formatCode>
                  <c:ptCount val="4"/>
                  <c:pt idx="0">
                    <c:v>0</c:v>
                  </c:pt>
                  <c:pt idx="1">
                    <c:v>4.2000000000000023E-2</c:v>
                  </c:pt>
                  <c:pt idx="2">
                    <c:v>3.9000000000000014E-2</c:v>
                  </c:pt>
                  <c:pt idx="3">
                    <c:v>6.1000000000000013E-2</c:v>
                  </c:pt>
                </c:numCache>
              </c:numRef>
            </c:plus>
            <c:minus>
              <c:numRef>
                <c:f>Sheet1!$M$61:$M$64</c:f>
                <c:numCache>
                  <c:formatCode>General</c:formatCode>
                  <c:ptCount val="4"/>
                  <c:pt idx="0">
                    <c:v>0</c:v>
                  </c:pt>
                  <c:pt idx="1">
                    <c:v>4.2000000000000023E-2</c:v>
                  </c:pt>
                  <c:pt idx="2">
                    <c:v>3.9000000000000014E-2</c:v>
                  </c:pt>
                  <c:pt idx="3">
                    <c:v>6.1000000000000013E-2</c:v>
                  </c:pt>
                </c:numCache>
              </c:numRef>
            </c:minus>
          </c:errBars>
          <c:cat>
            <c:strRef>
              <c:f>Feuil1!$A$154:$A$157</c:f>
              <c:strCache>
                <c:ptCount val="4"/>
                <c:pt idx="0">
                  <c:v>7 j</c:v>
                </c:pt>
                <c:pt idx="1">
                  <c:v>14 j</c:v>
                </c:pt>
                <c:pt idx="2">
                  <c:v>21 j</c:v>
                </c:pt>
                <c:pt idx="3">
                  <c:v>28 j</c:v>
                </c:pt>
              </c:strCache>
            </c:strRef>
          </c:cat>
          <c:val>
            <c:numRef>
              <c:f>Feuil1!$F$154:$F$157</c:f>
              <c:numCache>
                <c:formatCode>General</c:formatCode>
                <c:ptCount val="4"/>
                <c:pt idx="0">
                  <c:v>9.120000000000001</c:v>
                </c:pt>
                <c:pt idx="1">
                  <c:v>8.81</c:v>
                </c:pt>
                <c:pt idx="2">
                  <c:v>8.17</c:v>
                </c:pt>
                <c:pt idx="3">
                  <c:v>7.73</c:v>
                </c:pt>
              </c:numCache>
            </c:numRef>
          </c:val>
        </c:ser>
        <c:axId val="53276672"/>
        <c:axId val="53278592"/>
      </c:barChart>
      <c:catAx>
        <c:axId val="53276672"/>
        <c:scaling>
          <c:orientation val="minMax"/>
        </c:scaling>
        <c:axPos val="b"/>
        <c:title>
          <c:tx>
            <c:rich>
              <a:bodyPr/>
              <a:lstStyle/>
              <a:p>
                <a:pPr>
                  <a:defRPr/>
                </a:pPr>
                <a:r>
                  <a:rPr lang="en-US">
                    <a:latin typeface="Times New Roman" pitchFamily="18" charset="0"/>
                    <a:cs typeface="Times New Roman" pitchFamily="18" charset="0"/>
                  </a:rPr>
                  <a:t>Entreposage</a:t>
                </a:r>
                <a:r>
                  <a:rPr lang="en-US"/>
                  <a:t> </a:t>
                </a:r>
                <a:r>
                  <a:rPr lang="en-US">
                    <a:latin typeface="Times New Roman" pitchFamily="18" charset="0"/>
                    <a:cs typeface="Times New Roman" pitchFamily="18" charset="0"/>
                  </a:rPr>
                  <a:t>à +4°C en jours</a:t>
                </a:r>
              </a:p>
            </c:rich>
          </c:tx>
          <c:layout>
            <c:manualLayout>
              <c:xMode val="edge"/>
              <c:yMode val="edge"/>
              <c:x val="0.26931952090059541"/>
              <c:y val="0.91699493549221833"/>
            </c:manualLayout>
          </c:layout>
        </c:title>
        <c:numFmt formatCode="General" sourceLinked="1"/>
        <c:tickLblPos val="nextTo"/>
        <c:spPr>
          <a:ln>
            <a:solidFill>
              <a:sysClr val="windowText" lastClr="000000"/>
            </a:solidFill>
          </a:ln>
        </c:spPr>
        <c:txPr>
          <a:bodyPr/>
          <a:lstStyle/>
          <a:p>
            <a:pPr>
              <a:defRPr b="1"/>
            </a:pPr>
            <a:endParaRPr lang="fr-FR"/>
          </a:p>
        </c:txPr>
        <c:crossAx val="53278592"/>
        <c:crosses val="autoZero"/>
        <c:auto val="1"/>
        <c:lblAlgn val="ctr"/>
        <c:lblOffset val="100"/>
      </c:catAx>
      <c:valAx>
        <c:axId val="53278592"/>
        <c:scaling>
          <c:orientation val="minMax"/>
          <c:max val="10"/>
          <c:min val="5"/>
        </c:scaling>
        <c:axPos val="l"/>
        <c:title>
          <c:tx>
            <c:rich>
              <a:bodyPr rot="-5400000" vert="horz"/>
              <a:lstStyle/>
              <a:p>
                <a:pPr>
                  <a:defRPr/>
                </a:pPr>
                <a:r>
                  <a:rPr lang="en-US">
                    <a:latin typeface="Times New Roman" pitchFamily="18" charset="0"/>
                    <a:cs typeface="Times New Roman" pitchFamily="18" charset="0"/>
                  </a:rPr>
                  <a:t>log</a:t>
                </a:r>
                <a:r>
                  <a:rPr lang="en-US"/>
                  <a:t> </a:t>
                </a:r>
                <a:r>
                  <a:rPr lang="en-US">
                    <a:latin typeface="Times New Roman" pitchFamily="18" charset="0"/>
                    <a:cs typeface="Times New Roman" pitchFamily="18" charset="0"/>
                  </a:rPr>
                  <a:t>UFC/ml</a:t>
                </a:r>
              </a:p>
            </c:rich>
          </c:tx>
          <c:layout/>
        </c:title>
        <c:numFmt formatCode="General" sourceLinked="1"/>
        <c:tickLblPos val="nextTo"/>
        <c:spPr>
          <a:ln>
            <a:solidFill>
              <a:sysClr val="windowText" lastClr="000000"/>
            </a:solidFill>
          </a:ln>
        </c:spPr>
        <c:txPr>
          <a:bodyPr/>
          <a:lstStyle/>
          <a:p>
            <a:pPr>
              <a:defRPr b="1"/>
            </a:pPr>
            <a:endParaRPr lang="fr-FR"/>
          </a:p>
        </c:txPr>
        <c:crossAx val="53276672"/>
        <c:crosses val="autoZero"/>
        <c:crossBetween val="between"/>
        <c:majorUnit val="0.5"/>
      </c:valAx>
    </c:plotArea>
    <c:plotVisOnly val="1"/>
    <c:dispBlanksAs val="gap"/>
  </c:chart>
  <c:spPr>
    <a:ln>
      <a:solidFill>
        <a:schemeClr val="bg1"/>
      </a:solidFill>
    </a:ln>
  </c:spPr>
  <c:externalData r:id="rId1"/>
  <c:userShapes r:id="rId2"/>
</c:chartSpace>
</file>

<file path=word/charts/chart52.xml><?xml version="1.0" encoding="utf-8"?>
<c:chartSpace xmlns:c="http://schemas.openxmlformats.org/drawingml/2006/chart" xmlns:a="http://schemas.openxmlformats.org/drawingml/2006/main" xmlns:r="http://schemas.openxmlformats.org/officeDocument/2006/relationships">
  <c:date1904 val="1"/>
  <c:lang val="fr-FR"/>
  <c:style val="26"/>
  <c:chart>
    <c:title>
      <c:tx>
        <c:rich>
          <a:bodyPr/>
          <a:lstStyle/>
          <a:p>
            <a:pPr>
              <a:defRPr/>
            </a:pPr>
            <a:r>
              <a:rPr lang="fr-FR" b="0">
                <a:latin typeface="Times New Roman" pitchFamily="18" charset="0"/>
                <a:cs typeface="Times New Roman" pitchFamily="18" charset="0"/>
              </a:rPr>
              <a:t>D</a:t>
            </a:r>
          </a:p>
        </c:rich>
      </c:tx>
      <c:layout>
        <c:manualLayout>
          <c:xMode val="edge"/>
          <c:yMode val="edge"/>
          <c:x val="7.0323488045006828E-4"/>
          <c:y val="0"/>
        </c:manualLayout>
      </c:layout>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24909871498130295"/>
          <c:y val="0.14124460248920542"/>
          <c:w val="0.74987504199105914"/>
          <c:h val="0.68296358267716539"/>
        </c:manualLayout>
      </c:layout>
      <c:barChart>
        <c:barDir val="col"/>
        <c:grouping val="clustered"/>
        <c:ser>
          <c:idx val="0"/>
          <c:order val="0"/>
          <c:tx>
            <c:strRef>
              <c:f>Sheet2!$B$156</c:f>
              <c:strCache>
                <c:ptCount val="1"/>
                <c:pt idx="0">
                  <c:v>1 (Temoin)</c:v>
                </c:pt>
              </c:strCache>
            </c:strRef>
          </c:tx>
          <c:spPr>
            <a:solidFill>
              <a:srgbClr val="0070C0"/>
            </a:solidFill>
            <a:ln>
              <a:solidFill>
                <a:srgbClr val="0070C0"/>
              </a:solidFill>
            </a:ln>
          </c:spPr>
          <c:errBars>
            <c:errBarType val="both"/>
            <c:errValType val="cust"/>
            <c:plus>
              <c:numRef>
                <c:f>Sheet1!$I$61:$M$61</c:f>
                <c:numCache>
                  <c:formatCode>General</c:formatCode>
                  <c:ptCount val="5"/>
                  <c:pt idx="0">
                    <c:v>6.8000000000000019E-2</c:v>
                  </c:pt>
                  <c:pt idx="1">
                    <c:v>2.9000000000000001E-2</c:v>
                  </c:pt>
                  <c:pt idx="2">
                    <c:v>4.1000000000000002E-2</c:v>
                  </c:pt>
                  <c:pt idx="3">
                    <c:v>4.1000000000000002E-2</c:v>
                  </c:pt>
                  <c:pt idx="4">
                    <c:v>5.3999999999999999E-2</c:v>
                  </c:pt>
                </c:numCache>
              </c:numRef>
            </c:plus>
            <c:minus>
              <c:numRef>
                <c:f>Sheet1!$I$61:$M$61</c:f>
                <c:numCache>
                  <c:formatCode>General</c:formatCode>
                  <c:ptCount val="5"/>
                  <c:pt idx="0">
                    <c:v>6.8000000000000019E-2</c:v>
                  </c:pt>
                  <c:pt idx="1">
                    <c:v>2.9000000000000001E-2</c:v>
                  </c:pt>
                  <c:pt idx="2">
                    <c:v>4.1000000000000002E-2</c:v>
                  </c:pt>
                  <c:pt idx="3">
                    <c:v>4.1000000000000002E-2</c:v>
                  </c:pt>
                  <c:pt idx="4">
                    <c:v>5.3999999999999999E-2</c:v>
                  </c:pt>
                </c:numCache>
              </c:numRef>
            </c:minus>
          </c:errBars>
          <c:cat>
            <c:strRef>
              <c:f>Sheet2!$A$157:$A$160</c:f>
              <c:strCache>
                <c:ptCount val="4"/>
                <c:pt idx="0">
                  <c:v>7 j</c:v>
                </c:pt>
                <c:pt idx="1">
                  <c:v>14 j</c:v>
                </c:pt>
                <c:pt idx="2">
                  <c:v>21 j</c:v>
                </c:pt>
                <c:pt idx="3">
                  <c:v>28 j</c:v>
                </c:pt>
              </c:strCache>
            </c:strRef>
          </c:cat>
          <c:val>
            <c:numRef>
              <c:f>Sheet2!$B$157:$B$160</c:f>
              <c:numCache>
                <c:formatCode>General</c:formatCode>
                <c:ptCount val="4"/>
                <c:pt idx="0">
                  <c:v>7.71</c:v>
                </c:pt>
                <c:pt idx="1">
                  <c:v>7.33</c:v>
                </c:pt>
                <c:pt idx="2">
                  <c:v>6.5</c:v>
                </c:pt>
                <c:pt idx="3">
                  <c:v>5.91</c:v>
                </c:pt>
              </c:numCache>
            </c:numRef>
          </c:val>
        </c:ser>
        <c:ser>
          <c:idx val="1"/>
          <c:order val="1"/>
          <c:tx>
            <c:strRef>
              <c:f>Sheet2!$C$156</c:f>
              <c:strCache>
                <c:ptCount val="1"/>
                <c:pt idx="0">
                  <c:v>2 (Lactoserum)</c:v>
                </c:pt>
              </c:strCache>
            </c:strRef>
          </c:tx>
          <c:spPr>
            <a:solidFill>
              <a:srgbClr val="FF9900"/>
            </a:solidFill>
            <a:ln>
              <a:solidFill>
                <a:srgbClr val="FF9900"/>
              </a:solidFill>
            </a:ln>
          </c:spPr>
          <c:errBars>
            <c:errBarType val="both"/>
            <c:errValType val="cust"/>
            <c:plus>
              <c:numRef>
                <c:f>Sheet1!$I$62:$M$62</c:f>
                <c:numCache>
                  <c:formatCode>General</c:formatCode>
                  <c:ptCount val="5"/>
                  <c:pt idx="0">
                    <c:v>9.2000000000000026E-2</c:v>
                  </c:pt>
                  <c:pt idx="1">
                    <c:v>4.7000000000000014E-2</c:v>
                  </c:pt>
                  <c:pt idx="2">
                    <c:v>4.8000000000000001E-2</c:v>
                  </c:pt>
                  <c:pt idx="3">
                    <c:v>7.5000000000000011E-2</c:v>
                  </c:pt>
                  <c:pt idx="4">
                    <c:v>6.9000000000000034E-2</c:v>
                  </c:pt>
                </c:numCache>
              </c:numRef>
            </c:plus>
            <c:minus>
              <c:numRef>
                <c:f>Sheet1!$I$62:$M$62</c:f>
                <c:numCache>
                  <c:formatCode>General</c:formatCode>
                  <c:ptCount val="5"/>
                  <c:pt idx="0">
                    <c:v>9.2000000000000026E-2</c:v>
                  </c:pt>
                  <c:pt idx="1">
                    <c:v>4.7000000000000014E-2</c:v>
                  </c:pt>
                  <c:pt idx="2">
                    <c:v>4.8000000000000001E-2</c:v>
                  </c:pt>
                  <c:pt idx="3">
                    <c:v>7.5000000000000011E-2</c:v>
                  </c:pt>
                  <c:pt idx="4">
                    <c:v>6.9000000000000034E-2</c:v>
                  </c:pt>
                </c:numCache>
              </c:numRef>
            </c:minus>
          </c:errBars>
          <c:cat>
            <c:strRef>
              <c:f>Sheet2!$A$157:$A$160</c:f>
              <c:strCache>
                <c:ptCount val="4"/>
                <c:pt idx="0">
                  <c:v>7 j</c:v>
                </c:pt>
                <c:pt idx="1">
                  <c:v>14 j</c:v>
                </c:pt>
                <c:pt idx="2">
                  <c:v>21 j</c:v>
                </c:pt>
                <c:pt idx="3">
                  <c:v>28 j</c:v>
                </c:pt>
              </c:strCache>
            </c:strRef>
          </c:cat>
          <c:val>
            <c:numRef>
              <c:f>Sheet2!$C$157:$C$160</c:f>
              <c:numCache>
                <c:formatCode>General</c:formatCode>
                <c:ptCount val="4"/>
                <c:pt idx="0">
                  <c:v>10.18</c:v>
                </c:pt>
                <c:pt idx="1">
                  <c:v>9.76</c:v>
                </c:pt>
                <c:pt idx="2">
                  <c:v>9.15</c:v>
                </c:pt>
                <c:pt idx="3">
                  <c:v>8.4500000000000028</c:v>
                </c:pt>
              </c:numCache>
            </c:numRef>
          </c:val>
        </c:ser>
        <c:ser>
          <c:idx val="2"/>
          <c:order val="2"/>
          <c:tx>
            <c:strRef>
              <c:f>Sheet2!$D$156</c:f>
              <c:strCache>
                <c:ptCount val="1"/>
                <c:pt idx="0">
                  <c:v>3 (Promilk)</c:v>
                </c:pt>
              </c:strCache>
            </c:strRef>
          </c:tx>
          <c:spPr>
            <a:solidFill>
              <a:srgbClr val="92D050"/>
            </a:solidFill>
            <a:ln>
              <a:solidFill>
                <a:srgbClr val="92D050"/>
              </a:solidFill>
            </a:ln>
          </c:spPr>
          <c:errBars>
            <c:errBarType val="both"/>
            <c:errValType val="cust"/>
            <c:plus>
              <c:numRef>
                <c:f>Sheet1!$I$63:$M$63</c:f>
                <c:numCache>
                  <c:formatCode>General</c:formatCode>
                  <c:ptCount val="5"/>
                  <c:pt idx="0">
                    <c:v>4.0000000000000022E-2</c:v>
                  </c:pt>
                  <c:pt idx="1">
                    <c:v>6.5000000000000002E-2</c:v>
                  </c:pt>
                  <c:pt idx="2">
                    <c:v>6.2000000000000034E-2</c:v>
                  </c:pt>
                  <c:pt idx="3">
                    <c:v>6.0000000000000032E-2</c:v>
                  </c:pt>
                  <c:pt idx="4">
                    <c:v>5.9000000000000274E-2</c:v>
                  </c:pt>
                </c:numCache>
              </c:numRef>
            </c:plus>
            <c:minus>
              <c:numRef>
                <c:f>Sheet1!$I$63:$M$63</c:f>
                <c:numCache>
                  <c:formatCode>General</c:formatCode>
                  <c:ptCount val="5"/>
                  <c:pt idx="0">
                    <c:v>4.0000000000000022E-2</c:v>
                  </c:pt>
                  <c:pt idx="1">
                    <c:v>6.5000000000000002E-2</c:v>
                  </c:pt>
                  <c:pt idx="2">
                    <c:v>6.2000000000000034E-2</c:v>
                  </c:pt>
                  <c:pt idx="3">
                    <c:v>6.0000000000000032E-2</c:v>
                  </c:pt>
                  <c:pt idx="4">
                    <c:v>5.9000000000000274E-2</c:v>
                  </c:pt>
                </c:numCache>
              </c:numRef>
            </c:minus>
          </c:errBars>
          <c:cat>
            <c:strRef>
              <c:f>Sheet2!$A$157:$A$160</c:f>
              <c:strCache>
                <c:ptCount val="4"/>
                <c:pt idx="0">
                  <c:v>7 j</c:v>
                </c:pt>
                <c:pt idx="1">
                  <c:v>14 j</c:v>
                </c:pt>
                <c:pt idx="2">
                  <c:v>21 j</c:v>
                </c:pt>
                <c:pt idx="3">
                  <c:v>28 j</c:v>
                </c:pt>
              </c:strCache>
            </c:strRef>
          </c:cat>
          <c:val>
            <c:numRef>
              <c:f>Sheet2!$D$157:$D$160</c:f>
              <c:numCache>
                <c:formatCode>General</c:formatCode>
                <c:ptCount val="4"/>
                <c:pt idx="0">
                  <c:v>8.34</c:v>
                </c:pt>
                <c:pt idx="1">
                  <c:v>8.06</c:v>
                </c:pt>
                <c:pt idx="2">
                  <c:v>7.6099999999999985</c:v>
                </c:pt>
                <c:pt idx="3">
                  <c:v>7.18</c:v>
                </c:pt>
              </c:numCache>
            </c:numRef>
          </c:val>
        </c:ser>
        <c:ser>
          <c:idx val="3"/>
          <c:order val="3"/>
          <c:tx>
            <c:strRef>
              <c:f>Sheet2!$E$156</c:f>
              <c:strCache>
                <c:ptCount val="1"/>
                <c:pt idx="0">
                  <c:v>4 (H. Caseine)</c:v>
                </c:pt>
              </c:strCache>
            </c:strRef>
          </c:tx>
          <c:spPr>
            <a:solidFill>
              <a:srgbClr val="990099"/>
            </a:solidFill>
            <a:ln>
              <a:solidFill>
                <a:srgbClr val="990099"/>
              </a:solidFill>
            </a:ln>
          </c:spPr>
          <c:errBars>
            <c:errBarType val="both"/>
            <c:errValType val="cust"/>
            <c:plus>
              <c:numRef>
                <c:f>Sheet1!$I$64:$M$64</c:f>
                <c:numCache>
                  <c:formatCode>General</c:formatCode>
                  <c:ptCount val="5"/>
                  <c:pt idx="0">
                    <c:v>2.5000000000000001E-2</c:v>
                  </c:pt>
                  <c:pt idx="1">
                    <c:v>4.0000000000000022E-2</c:v>
                  </c:pt>
                  <c:pt idx="2">
                    <c:v>3.3000000000000002E-2</c:v>
                  </c:pt>
                  <c:pt idx="3">
                    <c:v>8.5000000000000006E-2</c:v>
                  </c:pt>
                  <c:pt idx="4">
                    <c:v>3.4000000000000002E-2</c:v>
                  </c:pt>
                </c:numCache>
              </c:numRef>
            </c:plus>
            <c:minus>
              <c:numRef>
                <c:f>Sheet1!$I$64:$M$64</c:f>
                <c:numCache>
                  <c:formatCode>General</c:formatCode>
                  <c:ptCount val="5"/>
                  <c:pt idx="0">
                    <c:v>2.5000000000000001E-2</c:v>
                  </c:pt>
                  <c:pt idx="1">
                    <c:v>4.0000000000000022E-2</c:v>
                  </c:pt>
                  <c:pt idx="2">
                    <c:v>3.3000000000000002E-2</c:v>
                  </c:pt>
                  <c:pt idx="3">
                    <c:v>8.5000000000000006E-2</c:v>
                  </c:pt>
                  <c:pt idx="4">
                    <c:v>3.4000000000000002E-2</c:v>
                  </c:pt>
                </c:numCache>
              </c:numRef>
            </c:minus>
          </c:errBars>
          <c:cat>
            <c:strRef>
              <c:f>Sheet2!$A$157:$A$160</c:f>
              <c:strCache>
                <c:ptCount val="4"/>
                <c:pt idx="0">
                  <c:v>7 j</c:v>
                </c:pt>
                <c:pt idx="1">
                  <c:v>14 j</c:v>
                </c:pt>
                <c:pt idx="2">
                  <c:v>21 j</c:v>
                </c:pt>
                <c:pt idx="3">
                  <c:v>28 j</c:v>
                </c:pt>
              </c:strCache>
            </c:strRef>
          </c:cat>
          <c:val>
            <c:numRef>
              <c:f>Sheet2!$E$157:$E$160</c:f>
              <c:numCache>
                <c:formatCode>General</c:formatCode>
                <c:ptCount val="4"/>
                <c:pt idx="0">
                  <c:v>8.94</c:v>
                </c:pt>
                <c:pt idx="1">
                  <c:v>8.56</c:v>
                </c:pt>
                <c:pt idx="2">
                  <c:v>8.3600000000000048</c:v>
                </c:pt>
                <c:pt idx="3">
                  <c:v>8.01</c:v>
                </c:pt>
              </c:numCache>
            </c:numRef>
          </c:val>
        </c:ser>
        <c:ser>
          <c:idx val="4"/>
          <c:order val="4"/>
          <c:tx>
            <c:strRef>
              <c:f>Sheet2!$F$156</c:f>
              <c:strCache>
                <c:ptCount val="1"/>
                <c:pt idx="0">
                  <c:v>5 (H. Proteine)</c:v>
                </c:pt>
              </c:strCache>
            </c:strRef>
          </c:tx>
          <c:spPr>
            <a:solidFill>
              <a:srgbClr val="FF33CC"/>
            </a:solidFill>
            <a:ln>
              <a:solidFill>
                <a:srgbClr val="FF33CC"/>
              </a:solidFill>
            </a:ln>
          </c:spPr>
          <c:errBars>
            <c:errBarType val="both"/>
            <c:errValType val="cust"/>
            <c:plus>
              <c:numRef>
                <c:f>Sheet2!$M$157:$M$160</c:f>
                <c:numCache>
                  <c:formatCode>General</c:formatCode>
                  <c:ptCount val="4"/>
                  <c:pt idx="0">
                    <c:v>5.3999999999999999E-2</c:v>
                  </c:pt>
                  <c:pt idx="1">
                    <c:v>6.9000000000000034E-2</c:v>
                  </c:pt>
                  <c:pt idx="2">
                    <c:v>5.9000000000000274E-2</c:v>
                  </c:pt>
                  <c:pt idx="3">
                    <c:v>3.4000000000000002E-2</c:v>
                  </c:pt>
                </c:numCache>
              </c:numRef>
            </c:plus>
            <c:minus>
              <c:numRef>
                <c:f>Sheet2!$M$157:$M$160</c:f>
                <c:numCache>
                  <c:formatCode>General</c:formatCode>
                  <c:ptCount val="4"/>
                  <c:pt idx="0">
                    <c:v>5.3999999999999999E-2</c:v>
                  </c:pt>
                  <c:pt idx="1">
                    <c:v>6.9000000000000034E-2</c:v>
                  </c:pt>
                  <c:pt idx="2">
                    <c:v>5.9000000000000274E-2</c:v>
                  </c:pt>
                  <c:pt idx="3">
                    <c:v>3.4000000000000002E-2</c:v>
                  </c:pt>
                </c:numCache>
              </c:numRef>
            </c:minus>
          </c:errBars>
          <c:cat>
            <c:strRef>
              <c:f>Sheet2!$A$157:$A$160</c:f>
              <c:strCache>
                <c:ptCount val="4"/>
                <c:pt idx="0">
                  <c:v>7 j</c:v>
                </c:pt>
                <c:pt idx="1">
                  <c:v>14 j</c:v>
                </c:pt>
                <c:pt idx="2">
                  <c:v>21 j</c:v>
                </c:pt>
                <c:pt idx="3">
                  <c:v>28 j</c:v>
                </c:pt>
              </c:strCache>
            </c:strRef>
          </c:cat>
          <c:val>
            <c:numRef>
              <c:f>Sheet2!$F$157:$F$160</c:f>
              <c:numCache>
                <c:formatCode>General</c:formatCode>
                <c:ptCount val="4"/>
                <c:pt idx="0">
                  <c:v>10.030000000000001</c:v>
                </c:pt>
                <c:pt idx="1">
                  <c:v>9.5300000000000011</c:v>
                </c:pt>
                <c:pt idx="2">
                  <c:v>9.3000000000000007</c:v>
                </c:pt>
                <c:pt idx="3">
                  <c:v>8.81</c:v>
                </c:pt>
              </c:numCache>
            </c:numRef>
          </c:val>
        </c:ser>
        <c:axId val="53340800"/>
        <c:axId val="53351168"/>
      </c:barChart>
      <c:catAx>
        <c:axId val="53340800"/>
        <c:scaling>
          <c:orientation val="minMax"/>
        </c:scaling>
        <c:axPos val="b"/>
        <c:title>
          <c:tx>
            <c:rich>
              <a:bodyPr/>
              <a:lstStyle/>
              <a:p>
                <a:pPr>
                  <a:defRPr/>
                </a:pPr>
                <a:r>
                  <a:rPr lang="fr-FR">
                    <a:latin typeface="Times New Roman" pitchFamily="18" charset="0"/>
                    <a:cs typeface="Times New Roman" pitchFamily="18" charset="0"/>
                  </a:rPr>
                  <a:t>Entreposage à +4°C en jours</a:t>
                </a:r>
              </a:p>
            </c:rich>
          </c:tx>
          <c:layout>
            <c:manualLayout>
              <c:xMode val="edge"/>
              <c:yMode val="edge"/>
              <c:x val="0.29102967898243737"/>
              <c:y val="0.93636647509093107"/>
            </c:manualLayout>
          </c:layout>
        </c:title>
        <c:numFmt formatCode="General" sourceLinked="1"/>
        <c:tickLblPos val="nextTo"/>
        <c:spPr>
          <a:ln>
            <a:solidFill>
              <a:sysClr val="windowText" lastClr="000000"/>
            </a:solidFill>
          </a:ln>
        </c:spPr>
        <c:txPr>
          <a:bodyPr rot="0" vert="horz"/>
          <a:lstStyle/>
          <a:p>
            <a:pPr>
              <a:defRPr b="1"/>
            </a:pPr>
            <a:endParaRPr lang="fr-FR"/>
          </a:p>
        </c:txPr>
        <c:crossAx val="53351168"/>
        <c:crosses val="autoZero"/>
        <c:auto val="1"/>
        <c:lblAlgn val="ctr"/>
        <c:lblOffset val="100"/>
      </c:catAx>
      <c:valAx>
        <c:axId val="53351168"/>
        <c:scaling>
          <c:orientation val="minMax"/>
          <c:max val="10.5"/>
          <c:min val="5.5"/>
        </c:scaling>
        <c:axPos val="l"/>
        <c:title>
          <c:tx>
            <c:rich>
              <a:bodyPr/>
              <a:lstStyle/>
              <a:p>
                <a:pPr>
                  <a:defRPr/>
                </a:pPr>
                <a:r>
                  <a:rPr lang="fr-FR"/>
                  <a:t>log </a:t>
                </a:r>
                <a:r>
                  <a:rPr lang="fr-FR">
                    <a:latin typeface="Times New Roman" pitchFamily="18" charset="0"/>
                    <a:cs typeface="Times New Roman" pitchFamily="18" charset="0"/>
                  </a:rPr>
                  <a:t>UFC/ml</a:t>
                </a:r>
              </a:p>
            </c:rich>
          </c:tx>
          <c:layout/>
        </c:title>
        <c:numFmt formatCode="General" sourceLinked="1"/>
        <c:tickLblPos val="nextTo"/>
        <c:spPr>
          <a:ln>
            <a:solidFill>
              <a:sysClr val="windowText" lastClr="000000"/>
            </a:solidFill>
          </a:ln>
        </c:spPr>
        <c:txPr>
          <a:bodyPr rot="0" vert="horz"/>
          <a:lstStyle/>
          <a:p>
            <a:pPr>
              <a:defRPr b="1"/>
            </a:pPr>
            <a:endParaRPr lang="fr-FR"/>
          </a:p>
        </c:txPr>
        <c:crossAx val="53340800"/>
        <c:crosses val="autoZero"/>
        <c:crossBetween val="between"/>
        <c:majorUnit val="0.5"/>
      </c:valAx>
    </c:plotArea>
    <c:plotVisOnly val="1"/>
    <c:dispBlanksAs val="gap"/>
  </c:chart>
  <c:spPr>
    <a:ln>
      <a:solidFill>
        <a:schemeClr val="bg1"/>
      </a:solidFill>
    </a:ln>
  </c:spPr>
  <c:externalData r:id="rId1"/>
  <c:userShapes r:id="rId2"/>
</c:chartSpace>
</file>

<file path=word/charts/chart53.xml><?xml version="1.0" encoding="utf-8"?>
<c:chartSpace xmlns:c="http://schemas.openxmlformats.org/drawingml/2006/chart" xmlns:a="http://schemas.openxmlformats.org/drawingml/2006/main" xmlns:r="http://schemas.openxmlformats.org/officeDocument/2006/relationships">
  <c:date1904 val="1"/>
  <c:lang val="fr-FR"/>
  <c:style val="26"/>
  <c:chart>
    <c:title>
      <c:tx>
        <c:rich>
          <a:bodyPr/>
          <a:lstStyle/>
          <a:p>
            <a:pPr>
              <a:defRPr/>
            </a:pPr>
            <a:r>
              <a:rPr lang="fr-FR" b="0">
                <a:latin typeface="Times New Roman" pitchFamily="18" charset="0"/>
                <a:cs typeface="Times New Roman" pitchFamily="18" charset="0"/>
              </a:rPr>
              <a:t>C</a:t>
            </a:r>
          </a:p>
        </c:rich>
      </c:tx>
      <c:layout>
        <c:manualLayout>
          <c:xMode val="edge"/>
          <c:yMode val="edge"/>
          <c:x val="5.7687135397826994E-4"/>
          <c:y val="0"/>
        </c:manualLayout>
      </c:layout>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2107636363636364"/>
          <c:y val="0.11263017526035071"/>
          <c:w val="0.78923636363635941"/>
          <c:h val="0.68337143340953632"/>
        </c:manualLayout>
      </c:layout>
      <c:barChart>
        <c:barDir val="col"/>
        <c:grouping val="clustered"/>
        <c:ser>
          <c:idx val="0"/>
          <c:order val="0"/>
          <c:tx>
            <c:strRef>
              <c:f>[1]Sheet2!$B$138</c:f>
              <c:strCache>
                <c:ptCount val="1"/>
                <c:pt idx="0">
                  <c:v>1 (Temoin)</c:v>
                </c:pt>
              </c:strCache>
            </c:strRef>
          </c:tx>
          <c:spPr>
            <a:solidFill>
              <a:srgbClr val="0070C0"/>
            </a:solidFill>
            <a:ln>
              <a:solidFill>
                <a:srgbClr val="0070C0"/>
              </a:solidFill>
            </a:ln>
          </c:spPr>
          <c:errBars>
            <c:errBarType val="both"/>
            <c:errValType val="cust"/>
            <c:plus>
              <c:numRef>
                <c:f>[1]Sheet1!$I$60:$M$60</c:f>
                <c:numCache>
                  <c:formatCode>General</c:formatCode>
                  <c:ptCount val="5"/>
                  <c:pt idx="0">
                    <c:v>3.9000000000000014E-2</c:v>
                  </c:pt>
                  <c:pt idx="1">
                    <c:v>4.0000000000000022E-2</c:v>
                  </c:pt>
                  <c:pt idx="2">
                    <c:v>3.500000000000001E-2</c:v>
                  </c:pt>
                  <c:pt idx="3">
                    <c:v>4.0000000000000022E-2</c:v>
                  </c:pt>
                  <c:pt idx="4">
                    <c:v>4.8000000000000001E-2</c:v>
                  </c:pt>
                </c:numCache>
              </c:numRef>
            </c:plus>
            <c:minus>
              <c:numRef>
                <c:f>[1]Sheet1!$I$60:$M$60</c:f>
                <c:numCache>
                  <c:formatCode>General</c:formatCode>
                  <c:ptCount val="5"/>
                  <c:pt idx="0">
                    <c:v>3.9000000000000014E-2</c:v>
                  </c:pt>
                  <c:pt idx="1">
                    <c:v>4.0000000000000022E-2</c:v>
                  </c:pt>
                  <c:pt idx="2">
                    <c:v>3.500000000000001E-2</c:v>
                  </c:pt>
                  <c:pt idx="3">
                    <c:v>4.0000000000000022E-2</c:v>
                  </c:pt>
                  <c:pt idx="4">
                    <c:v>4.8000000000000001E-2</c:v>
                  </c:pt>
                </c:numCache>
              </c:numRef>
            </c:minus>
          </c:errBars>
          <c:cat>
            <c:strRef>
              <c:f>[1]Sheet2!$A$139:$A$142</c:f>
              <c:strCache>
                <c:ptCount val="4"/>
                <c:pt idx="0">
                  <c:v>7 j</c:v>
                </c:pt>
                <c:pt idx="1">
                  <c:v>14 j</c:v>
                </c:pt>
                <c:pt idx="2">
                  <c:v>21 j</c:v>
                </c:pt>
                <c:pt idx="3">
                  <c:v>28 j</c:v>
                </c:pt>
              </c:strCache>
            </c:strRef>
          </c:cat>
          <c:val>
            <c:numRef>
              <c:f>[1]Sheet2!$B$139:$B$142</c:f>
              <c:numCache>
                <c:formatCode>General</c:formatCode>
                <c:ptCount val="4"/>
                <c:pt idx="0">
                  <c:v>7.35</c:v>
                </c:pt>
                <c:pt idx="1">
                  <c:v>7.03</c:v>
                </c:pt>
                <c:pt idx="2">
                  <c:v>6.79</c:v>
                </c:pt>
                <c:pt idx="3">
                  <c:v>6.41</c:v>
                </c:pt>
              </c:numCache>
            </c:numRef>
          </c:val>
        </c:ser>
        <c:ser>
          <c:idx val="1"/>
          <c:order val="1"/>
          <c:tx>
            <c:strRef>
              <c:f>[1]Sheet2!$C$138</c:f>
              <c:strCache>
                <c:ptCount val="1"/>
                <c:pt idx="0">
                  <c:v>2 (Lactoserum)</c:v>
                </c:pt>
              </c:strCache>
            </c:strRef>
          </c:tx>
          <c:spPr>
            <a:solidFill>
              <a:srgbClr val="FF9900"/>
            </a:solidFill>
            <a:ln>
              <a:solidFill>
                <a:srgbClr val="FF9900"/>
              </a:solidFill>
            </a:ln>
          </c:spPr>
          <c:errBars>
            <c:errBarType val="both"/>
            <c:errValType val="cust"/>
            <c:plus>
              <c:numRef>
                <c:f>[1]Sheet1!$I$61:$M$61</c:f>
                <c:numCache>
                  <c:formatCode>General</c:formatCode>
                  <c:ptCount val="5"/>
                  <c:pt idx="0">
                    <c:v>3.6999999999999998E-2</c:v>
                  </c:pt>
                  <c:pt idx="1">
                    <c:v>3.5999999999999997E-2</c:v>
                  </c:pt>
                  <c:pt idx="2">
                    <c:v>3.9000000000000014E-2</c:v>
                  </c:pt>
                  <c:pt idx="3">
                    <c:v>7.9000000000000362E-2</c:v>
                  </c:pt>
                  <c:pt idx="4">
                    <c:v>4.2000000000000023E-2</c:v>
                  </c:pt>
                </c:numCache>
              </c:numRef>
            </c:plus>
            <c:minus>
              <c:numRef>
                <c:f>[1]Sheet1!$I$61:$M$61</c:f>
                <c:numCache>
                  <c:formatCode>General</c:formatCode>
                  <c:ptCount val="5"/>
                  <c:pt idx="0">
                    <c:v>3.6999999999999998E-2</c:v>
                  </c:pt>
                  <c:pt idx="1">
                    <c:v>3.5999999999999997E-2</c:v>
                  </c:pt>
                  <c:pt idx="2">
                    <c:v>3.9000000000000014E-2</c:v>
                  </c:pt>
                  <c:pt idx="3">
                    <c:v>7.9000000000000362E-2</c:v>
                  </c:pt>
                  <c:pt idx="4">
                    <c:v>4.2000000000000023E-2</c:v>
                  </c:pt>
                </c:numCache>
              </c:numRef>
            </c:minus>
          </c:errBars>
          <c:cat>
            <c:strRef>
              <c:f>[1]Sheet2!$A$139:$A$142</c:f>
              <c:strCache>
                <c:ptCount val="4"/>
                <c:pt idx="0">
                  <c:v>7 j</c:v>
                </c:pt>
                <c:pt idx="1">
                  <c:v>14 j</c:v>
                </c:pt>
                <c:pt idx="2">
                  <c:v>21 j</c:v>
                </c:pt>
                <c:pt idx="3">
                  <c:v>28 j</c:v>
                </c:pt>
              </c:strCache>
            </c:strRef>
          </c:cat>
          <c:val>
            <c:numRef>
              <c:f>[1]Sheet2!$C$139:$C$142</c:f>
              <c:numCache>
                <c:formatCode>General</c:formatCode>
                <c:ptCount val="4"/>
                <c:pt idx="0">
                  <c:v>9.620000000000001</c:v>
                </c:pt>
                <c:pt idx="1">
                  <c:v>9.33</c:v>
                </c:pt>
                <c:pt idx="2">
                  <c:v>8.99</c:v>
                </c:pt>
                <c:pt idx="3">
                  <c:v>8.59</c:v>
                </c:pt>
              </c:numCache>
            </c:numRef>
          </c:val>
        </c:ser>
        <c:ser>
          <c:idx val="2"/>
          <c:order val="2"/>
          <c:tx>
            <c:strRef>
              <c:f>[1]Sheet2!$D$138</c:f>
              <c:strCache>
                <c:ptCount val="1"/>
                <c:pt idx="0">
                  <c:v>3 (Promilk)</c:v>
                </c:pt>
              </c:strCache>
            </c:strRef>
          </c:tx>
          <c:spPr>
            <a:solidFill>
              <a:srgbClr val="92D050"/>
            </a:solidFill>
            <a:ln>
              <a:solidFill>
                <a:srgbClr val="92D050"/>
              </a:solidFill>
            </a:ln>
          </c:spPr>
          <c:errBars>
            <c:errBarType val="both"/>
            <c:errValType val="cust"/>
            <c:plus>
              <c:numRef>
                <c:f>[1]Sheet1!$I$62:$M$62</c:f>
                <c:numCache>
                  <c:formatCode>General</c:formatCode>
                  <c:ptCount val="5"/>
                  <c:pt idx="0">
                    <c:v>8.6000000000000021E-2</c:v>
                  </c:pt>
                  <c:pt idx="1">
                    <c:v>4.3999999999999997E-2</c:v>
                  </c:pt>
                  <c:pt idx="2">
                    <c:v>3.500000000000001E-2</c:v>
                  </c:pt>
                  <c:pt idx="3">
                    <c:v>5.1999999999999998E-2</c:v>
                  </c:pt>
                  <c:pt idx="4">
                    <c:v>3.9000000000000014E-2</c:v>
                  </c:pt>
                </c:numCache>
              </c:numRef>
            </c:plus>
            <c:minus>
              <c:numRef>
                <c:f>[1]Sheet1!$I$62:$M$62</c:f>
                <c:numCache>
                  <c:formatCode>General</c:formatCode>
                  <c:ptCount val="5"/>
                  <c:pt idx="0">
                    <c:v>8.6000000000000021E-2</c:v>
                  </c:pt>
                  <c:pt idx="1">
                    <c:v>4.3999999999999997E-2</c:v>
                  </c:pt>
                  <c:pt idx="2">
                    <c:v>3.500000000000001E-2</c:v>
                  </c:pt>
                  <c:pt idx="3">
                    <c:v>5.1999999999999998E-2</c:v>
                  </c:pt>
                  <c:pt idx="4">
                    <c:v>3.9000000000000014E-2</c:v>
                  </c:pt>
                </c:numCache>
              </c:numRef>
            </c:minus>
          </c:errBars>
          <c:cat>
            <c:strRef>
              <c:f>[1]Sheet2!$A$139:$A$142</c:f>
              <c:strCache>
                <c:ptCount val="4"/>
                <c:pt idx="0">
                  <c:v>7 j</c:v>
                </c:pt>
                <c:pt idx="1">
                  <c:v>14 j</c:v>
                </c:pt>
                <c:pt idx="2">
                  <c:v>21 j</c:v>
                </c:pt>
                <c:pt idx="3">
                  <c:v>28 j</c:v>
                </c:pt>
              </c:strCache>
            </c:strRef>
          </c:cat>
          <c:val>
            <c:numRef>
              <c:f>[1]Sheet2!$D$139:$D$142</c:f>
              <c:numCache>
                <c:formatCode>General</c:formatCode>
                <c:ptCount val="4"/>
                <c:pt idx="0">
                  <c:v>8.09</c:v>
                </c:pt>
                <c:pt idx="1">
                  <c:v>7.6499999999999995</c:v>
                </c:pt>
                <c:pt idx="2">
                  <c:v>7.04</c:v>
                </c:pt>
                <c:pt idx="3">
                  <c:v>6.76</c:v>
                </c:pt>
              </c:numCache>
            </c:numRef>
          </c:val>
        </c:ser>
        <c:ser>
          <c:idx val="3"/>
          <c:order val="3"/>
          <c:tx>
            <c:strRef>
              <c:f>[1]Sheet2!$E$138</c:f>
              <c:strCache>
                <c:ptCount val="1"/>
                <c:pt idx="0">
                  <c:v>4 (H. Caseine)</c:v>
                </c:pt>
              </c:strCache>
            </c:strRef>
          </c:tx>
          <c:spPr>
            <a:solidFill>
              <a:srgbClr val="990099"/>
            </a:solidFill>
            <a:ln>
              <a:solidFill>
                <a:srgbClr val="990099"/>
              </a:solidFill>
            </a:ln>
          </c:spPr>
          <c:errBars>
            <c:errBarType val="both"/>
            <c:errValType val="cust"/>
            <c:plus>
              <c:numRef>
                <c:f>[1]Sheet1!$I$63:$M$63</c:f>
                <c:numCache>
                  <c:formatCode>General</c:formatCode>
                  <c:ptCount val="5"/>
                  <c:pt idx="0">
                    <c:v>3.9000000000000014E-2</c:v>
                  </c:pt>
                  <c:pt idx="1">
                    <c:v>3.500000000000001E-2</c:v>
                  </c:pt>
                  <c:pt idx="2">
                    <c:v>4.8000000000000001E-2</c:v>
                  </c:pt>
                  <c:pt idx="3">
                    <c:v>2.3E-2</c:v>
                  </c:pt>
                  <c:pt idx="4">
                    <c:v>4.5000000000000012E-2</c:v>
                  </c:pt>
                </c:numCache>
              </c:numRef>
            </c:plus>
            <c:minus>
              <c:numRef>
                <c:f>[1]Sheet1!$I$63:$M$63</c:f>
                <c:numCache>
                  <c:formatCode>General</c:formatCode>
                  <c:ptCount val="5"/>
                  <c:pt idx="0">
                    <c:v>3.9000000000000014E-2</c:v>
                  </c:pt>
                  <c:pt idx="1">
                    <c:v>3.500000000000001E-2</c:v>
                  </c:pt>
                  <c:pt idx="2">
                    <c:v>4.8000000000000001E-2</c:v>
                  </c:pt>
                  <c:pt idx="3">
                    <c:v>2.3E-2</c:v>
                  </c:pt>
                  <c:pt idx="4">
                    <c:v>4.5000000000000012E-2</c:v>
                  </c:pt>
                </c:numCache>
              </c:numRef>
            </c:minus>
          </c:errBars>
          <c:cat>
            <c:strRef>
              <c:f>[1]Sheet2!$A$139:$A$142</c:f>
              <c:strCache>
                <c:ptCount val="4"/>
                <c:pt idx="0">
                  <c:v>7 j</c:v>
                </c:pt>
                <c:pt idx="1">
                  <c:v>14 j</c:v>
                </c:pt>
                <c:pt idx="2">
                  <c:v>21 j</c:v>
                </c:pt>
                <c:pt idx="3">
                  <c:v>28 j</c:v>
                </c:pt>
              </c:strCache>
            </c:strRef>
          </c:cat>
          <c:val>
            <c:numRef>
              <c:f>[1]Sheet2!$E$139:$E$142</c:f>
              <c:numCache>
                <c:formatCode>General</c:formatCode>
                <c:ptCount val="4"/>
                <c:pt idx="0">
                  <c:v>8.48</c:v>
                </c:pt>
                <c:pt idx="1">
                  <c:v>7.8599999999999985</c:v>
                </c:pt>
                <c:pt idx="2">
                  <c:v>7.57</c:v>
                </c:pt>
                <c:pt idx="3">
                  <c:v>7.3599999999999985</c:v>
                </c:pt>
              </c:numCache>
            </c:numRef>
          </c:val>
        </c:ser>
        <c:ser>
          <c:idx val="4"/>
          <c:order val="4"/>
          <c:tx>
            <c:strRef>
              <c:f>[1]Sheet2!$F$138</c:f>
              <c:strCache>
                <c:ptCount val="1"/>
                <c:pt idx="0">
                  <c:v>5 (H. Proteine)</c:v>
                </c:pt>
              </c:strCache>
            </c:strRef>
          </c:tx>
          <c:spPr>
            <a:solidFill>
              <a:srgbClr val="FF33CC"/>
            </a:solidFill>
            <a:ln>
              <a:solidFill>
                <a:srgbClr val="FF33CC"/>
              </a:solidFill>
            </a:ln>
          </c:spPr>
          <c:errBars>
            <c:errBarType val="both"/>
            <c:errValType val="cust"/>
            <c:plus>
              <c:numRef>
                <c:f>[1]Sheet2!$M$139:$M$142</c:f>
                <c:numCache>
                  <c:formatCode>General</c:formatCode>
                  <c:ptCount val="4"/>
                  <c:pt idx="0">
                    <c:v>4.8000000000000001E-2</c:v>
                  </c:pt>
                  <c:pt idx="1">
                    <c:v>4.2000000000000023E-2</c:v>
                  </c:pt>
                  <c:pt idx="2">
                    <c:v>3.9000000000000014E-2</c:v>
                  </c:pt>
                  <c:pt idx="3">
                    <c:v>4.5000000000000012E-2</c:v>
                  </c:pt>
                </c:numCache>
              </c:numRef>
            </c:plus>
            <c:minus>
              <c:numRef>
                <c:f>[1]Sheet2!$M$139:$M$142</c:f>
                <c:numCache>
                  <c:formatCode>General</c:formatCode>
                  <c:ptCount val="4"/>
                  <c:pt idx="0">
                    <c:v>4.8000000000000001E-2</c:v>
                  </c:pt>
                  <c:pt idx="1">
                    <c:v>4.2000000000000023E-2</c:v>
                  </c:pt>
                  <c:pt idx="2">
                    <c:v>3.9000000000000014E-2</c:v>
                  </c:pt>
                  <c:pt idx="3">
                    <c:v>4.5000000000000012E-2</c:v>
                  </c:pt>
                </c:numCache>
              </c:numRef>
            </c:minus>
          </c:errBars>
          <c:cat>
            <c:strRef>
              <c:f>[1]Sheet2!$A$139:$A$142</c:f>
              <c:strCache>
                <c:ptCount val="4"/>
                <c:pt idx="0">
                  <c:v>7 j</c:v>
                </c:pt>
                <c:pt idx="1">
                  <c:v>14 j</c:v>
                </c:pt>
                <c:pt idx="2">
                  <c:v>21 j</c:v>
                </c:pt>
                <c:pt idx="3">
                  <c:v>28 j</c:v>
                </c:pt>
              </c:strCache>
            </c:strRef>
          </c:cat>
          <c:val>
            <c:numRef>
              <c:f>[1]Sheet2!$F$139:$F$142</c:f>
              <c:numCache>
                <c:formatCode>General</c:formatCode>
                <c:ptCount val="4"/>
                <c:pt idx="0">
                  <c:v>9.1300000000000008</c:v>
                </c:pt>
                <c:pt idx="1">
                  <c:v>8.89</c:v>
                </c:pt>
                <c:pt idx="2">
                  <c:v>8.48</c:v>
                </c:pt>
                <c:pt idx="3">
                  <c:v>8.0400000000000009</c:v>
                </c:pt>
              </c:numCache>
            </c:numRef>
          </c:val>
        </c:ser>
        <c:axId val="53569024"/>
        <c:axId val="53570944"/>
      </c:barChart>
      <c:catAx>
        <c:axId val="53569024"/>
        <c:scaling>
          <c:orientation val="minMax"/>
        </c:scaling>
        <c:axPos val="b"/>
        <c:title>
          <c:tx>
            <c:rich>
              <a:bodyPr/>
              <a:lstStyle/>
              <a:p>
                <a:pPr>
                  <a:defRPr/>
                </a:pPr>
                <a:r>
                  <a:rPr lang="en-US">
                    <a:latin typeface="Times New Roman" pitchFamily="18" charset="0"/>
                    <a:cs typeface="Times New Roman" pitchFamily="18" charset="0"/>
                  </a:rPr>
                  <a:t>Entreposage</a:t>
                </a:r>
                <a:r>
                  <a:rPr lang="en-US"/>
                  <a:t> </a:t>
                </a:r>
                <a:r>
                  <a:rPr lang="en-US">
                    <a:latin typeface="Times New Roman" pitchFamily="18" charset="0"/>
                    <a:cs typeface="Times New Roman" pitchFamily="18" charset="0"/>
                  </a:rPr>
                  <a:t>à +4°C en jours</a:t>
                </a:r>
              </a:p>
            </c:rich>
          </c:tx>
          <c:layout>
            <c:manualLayout>
              <c:xMode val="edge"/>
              <c:yMode val="edge"/>
              <c:x val="0.28509090909091089"/>
              <c:y val="0.92068407238569294"/>
            </c:manualLayout>
          </c:layout>
        </c:title>
        <c:numFmt formatCode="General" sourceLinked="1"/>
        <c:tickLblPos val="nextTo"/>
        <c:spPr>
          <a:ln>
            <a:solidFill>
              <a:sysClr val="windowText" lastClr="000000"/>
            </a:solidFill>
          </a:ln>
        </c:spPr>
        <c:txPr>
          <a:bodyPr/>
          <a:lstStyle/>
          <a:p>
            <a:pPr>
              <a:defRPr b="1"/>
            </a:pPr>
            <a:endParaRPr lang="fr-FR"/>
          </a:p>
        </c:txPr>
        <c:crossAx val="53570944"/>
        <c:crosses val="autoZero"/>
        <c:auto val="1"/>
        <c:lblAlgn val="ctr"/>
        <c:lblOffset val="100"/>
      </c:catAx>
      <c:valAx>
        <c:axId val="53570944"/>
        <c:scaling>
          <c:orientation val="minMax"/>
          <c:max val="10"/>
          <c:min val="5"/>
        </c:scaling>
        <c:axPos val="l"/>
        <c:title>
          <c:tx>
            <c:rich>
              <a:bodyPr rot="-5400000" vert="horz"/>
              <a:lstStyle/>
              <a:p>
                <a:pPr>
                  <a:defRPr/>
                </a:pPr>
                <a:r>
                  <a:rPr lang="en-US">
                    <a:latin typeface="Times New Roman" pitchFamily="18" charset="0"/>
                    <a:cs typeface="Times New Roman" pitchFamily="18" charset="0"/>
                  </a:rPr>
                  <a:t>log</a:t>
                </a:r>
                <a:r>
                  <a:rPr lang="en-US"/>
                  <a:t> </a:t>
                </a:r>
                <a:r>
                  <a:rPr lang="en-US">
                    <a:latin typeface="Times New Roman" pitchFamily="18" charset="0"/>
                    <a:cs typeface="Times New Roman" pitchFamily="18" charset="0"/>
                  </a:rPr>
                  <a:t>UFC/ml</a:t>
                </a:r>
              </a:p>
            </c:rich>
          </c:tx>
          <c:layout/>
        </c:title>
        <c:numFmt formatCode="General" sourceLinked="1"/>
        <c:tickLblPos val="nextTo"/>
        <c:spPr>
          <a:ln>
            <a:solidFill>
              <a:sysClr val="windowText" lastClr="000000"/>
            </a:solidFill>
          </a:ln>
        </c:spPr>
        <c:txPr>
          <a:bodyPr/>
          <a:lstStyle/>
          <a:p>
            <a:pPr>
              <a:defRPr b="1"/>
            </a:pPr>
            <a:endParaRPr lang="fr-FR"/>
          </a:p>
        </c:txPr>
        <c:crossAx val="53569024"/>
        <c:crosses val="autoZero"/>
        <c:crossBetween val="between"/>
        <c:majorUnit val="0.5"/>
        <c:minorUnit val="0.4"/>
      </c:valAx>
    </c:plotArea>
    <c:plotVisOnly val="1"/>
    <c:dispBlanksAs val="gap"/>
  </c:chart>
  <c:spPr>
    <a:ln>
      <a:solidFill>
        <a:schemeClr val="bg1"/>
      </a:solidFill>
    </a:ln>
  </c:spPr>
  <c:externalData r:id="rId1"/>
  <c:userShapes r:id="rId2"/>
</c:chartSpace>
</file>

<file path=word/charts/chart54.xml><?xml version="1.0" encoding="utf-8"?>
<c:chartSpace xmlns:c="http://schemas.openxmlformats.org/drawingml/2006/chart" xmlns:a="http://schemas.openxmlformats.org/drawingml/2006/main" xmlns:r="http://schemas.openxmlformats.org/officeDocument/2006/relationships">
  <c:date1904 val="1"/>
  <c:lang val="fr-FR"/>
  <c:style val="26"/>
  <c:chart>
    <c:title>
      <c:tx>
        <c:rich>
          <a:bodyPr/>
          <a:lstStyle/>
          <a:p>
            <a:pPr>
              <a:defRPr/>
            </a:pPr>
            <a:r>
              <a:rPr lang="fr-FR" b="0">
                <a:latin typeface="Times New Roman" pitchFamily="18" charset="0"/>
                <a:cs typeface="Times New Roman" pitchFamily="18" charset="0"/>
              </a:rPr>
              <a:t>B</a:t>
            </a:r>
          </a:p>
        </c:rich>
      </c:tx>
      <c:layout>
        <c:manualLayout>
          <c:xMode val="edge"/>
          <c:yMode val="edge"/>
          <c:x val="1.0709344629101344E-3"/>
          <c:y val="1.2066365007541479E-2"/>
        </c:manualLayout>
      </c:layout>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24744396753668796"/>
          <c:y val="0.10050833389416033"/>
          <c:w val="0.72232615693124258"/>
          <c:h val="0.69533095052538263"/>
        </c:manualLayout>
      </c:layout>
      <c:barChart>
        <c:barDir val="col"/>
        <c:grouping val="clustered"/>
        <c:ser>
          <c:idx val="0"/>
          <c:order val="0"/>
          <c:tx>
            <c:strRef>
              <c:f>Sheet2!$B$161</c:f>
              <c:strCache>
                <c:ptCount val="1"/>
                <c:pt idx="0">
                  <c:v>1 (Temoin)</c:v>
                </c:pt>
              </c:strCache>
            </c:strRef>
          </c:tx>
          <c:spPr>
            <a:solidFill>
              <a:srgbClr val="0070C0"/>
            </a:solidFill>
            <a:ln>
              <a:solidFill>
                <a:srgbClr val="0070C0"/>
              </a:solidFill>
            </a:ln>
          </c:spPr>
          <c:errBars>
            <c:errBarType val="both"/>
            <c:errValType val="cust"/>
            <c:plus>
              <c:numRef>
                <c:f>Sheet1!$I$61:$I$64</c:f>
                <c:numCache>
                  <c:formatCode>General</c:formatCode>
                  <c:ptCount val="4"/>
                  <c:pt idx="0">
                    <c:v>2.1999999999999999E-2</c:v>
                  </c:pt>
                  <c:pt idx="1">
                    <c:v>4.3000000000000003E-2</c:v>
                  </c:pt>
                  <c:pt idx="2">
                    <c:v>4.3999999999999997E-2</c:v>
                  </c:pt>
                  <c:pt idx="3">
                    <c:v>4.3999999999999997E-2</c:v>
                  </c:pt>
                </c:numCache>
              </c:numRef>
            </c:plus>
            <c:minus>
              <c:numRef>
                <c:f>Sheet1!$I$61:$I$64</c:f>
                <c:numCache>
                  <c:formatCode>General</c:formatCode>
                  <c:ptCount val="4"/>
                  <c:pt idx="0">
                    <c:v>2.1999999999999999E-2</c:v>
                  </c:pt>
                  <c:pt idx="1">
                    <c:v>4.3000000000000003E-2</c:v>
                  </c:pt>
                  <c:pt idx="2">
                    <c:v>4.3999999999999997E-2</c:v>
                  </c:pt>
                  <c:pt idx="3">
                    <c:v>4.3999999999999997E-2</c:v>
                  </c:pt>
                </c:numCache>
              </c:numRef>
            </c:minus>
          </c:errBars>
          <c:cat>
            <c:strRef>
              <c:f>Sheet2!$A$162:$A$165</c:f>
              <c:strCache>
                <c:ptCount val="4"/>
                <c:pt idx="0">
                  <c:v>7 j</c:v>
                </c:pt>
                <c:pt idx="1">
                  <c:v>14 j</c:v>
                </c:pt>
                <c:pt idx="2">
                  <c:v>21 j</c:v>
                </c:pt>
                <c:pt idx="3">
                  <c:v>28 j</c:v>
                </c:pt>
              </c:strCache>
            </c:strRef>
          </c:cat>
          <c:val>
            <c:numRef>
              <c:f>Sheet2!$B$162:$B$165</c:f>
              <c:numCache>
                <c:formatCode>General</c:formatCode>
                <c:ptCount val="4"/>
                <c:pt idx="0">
                  <c:v>7.9300000000000024</c:v>
                </c:pt>
                <c:pt idx="1">
                  <c:v>7.6099999999999985</c:v>
                </c:pt>
                <c:pt idx="2">
                  <c:v>7.1499999999999995</c:v>
                </c:pt>
                <c:pt idx="3">
                  <c:v>6.83</c:v>
                </c:pt>
              </c:numCache>
            </c:numRef>
          </c:val>
        </c:ser>
        <c:ser>
          <c:idx val="1"/>
          <c:order val="1"/>
          <c:tx>
            <c:strRef>
              <c:f>Sheet2!$C$161</c:f>
              <c:strCache>
                <c:ptCount val="1"/>
                <c:pt idx="0">
                  <c:v>2 (Lactoserum)</c:v>
                </c:pt>
              </c:strCache>
            </c:strRef>
          </c:tx>
          <c:spPr>
            <a:solidFill>
              <a:srgbClr val="FF9900"/>
            </a:solidFill>
            <a:ln>
              <a:solidFill>
                <a:srgbClr val="FF9900"/>
              </a:solidFill>
            </a:ln>
          </c:spPr>
          <c:errBars>
            <c:errBarType val="both"/>
            <c:errValType val="cust"/>
            <c:plus>
              <c:numRef>
                <c:f>Sheet1!$J$61:$J$64</c:f>
                <c:numCache>
                  <c:formatCode>General</c:formatCode>
                  <c:ptCount val="4"/>
                  <c:pt idx="0">
                    <c:v>6.3E-2</c:v>
                  </c:pt>
                  <c:pt idx="1">
                    <c:v>4.8000000000000001E-2</c:v>
                  </c:pt>
                  <c:pt idx="2">
                    <c:v>4.5000000000000012E-2</c:v>
                  </c:pt>
                  <c:pt idx="3">
                    <c:v>3.9000000000000014E-2</c:v>
                  </c:pt>
                </c:numCache>
              </c:numRef>
            </c:plus>
            <c:minus>
              <c:numRef>
                <c:f>Sheet1!$J$61:$J$64</c:f>
                <c:numCache>
                  <c:formatCode>General</c:formatCode>
                  <c:ptCount val="4"/>
                  <c:pt idx="0">
                    <c:v>6.3E-2</c:v>
                  </c:pt>
                  <c:pt idx="1">
                    <c:v>4.8000000000000001E-2</c:v>
                  </c:pt>
                  <c:pt idx="2">
                    <c:v>4.5000000000000012E-2</c:v>
                  </c:pt>
                  <c:pt idx="3">
                    <c:v>3.9000000000000014E-2</c:v>
                  </c:pt>
                </c:numCache>
              </c:numRef>
            </c:minus>
          </c:errBars>
          <c:cat>
            <c:strRef>
              <c:f>Sheet2!$A$162:$A$165</c:f>
              <c:strCache>
                <c:ptCount val="4"/>
                <c:pt idx="0">
                  <c:v>7 j</c:v>
                </c:pt>
                <c:pt idx="1">
                  <c:v>14 j</c:v>
                </c:pt>
                <c:pt idx="2">
                  <c:v>21 j</c:v>
                </c:pt>
                <c:pt idx="3">
                  <c:v>28 j</c:v>
                </c:pt>
              </c:strCache>
            </c:strRef>
          </c:cat>
          <c:val>
            <c:numRef>
              <c:f>Sheet2!$C$162:$C$165</c:f>
              <c:numCache>
                <c:formatCode>General</c:formatCode>
                <c:ptCount val="4"/>
                <c:pt idx="0">
                  <c:v>9.6300000000000008</c:v>
                </c:pt>
                <c:pt idx="1">
                  <c:v>9.33</c:v>
                </c:pt>
                <c:pt idx="2">
                  <c:v>9.0500000000000007</c:v>
                </c:pt>
                <c:pt idx="3">
                  <c:v>8.64</c:v>
                </c:pt>
              </c:numCache>
            </c:numRef>
          </c:val>
        </c:ser>
        <c:ser>
          <c:idx val="2"/>
          <c:order val="2"/>
          <c:tx>
            <c:strRef>
              <c:f>Sheet2!$D$161</c:f>
              <c:strCache>
                <c:ptCount val="1"/>
                <c:pt idx="0">
                  <c:v>3 (Promilk)</c:v>
                </c:pt>
              </c:strCache>
            </c:strRef>
          </c:tx>
          <c:spPr>
            <a:solidFill>
              <a:srgbClr val="92D050"/>
            </a:solidFill>
            <a:ln>
              <a:solidFill>
                <a:srgbClr val="92D050"/>
              </a:solidFill>
            </a:ln>
          </c:spPr>
          <c:errBars>
            <c:errBarType val="both"/>
            <c:errValType val="cust"/>
            <c:plus>
              <c:numRef>
                <c:f>Sheet1!$K$61:$K$64</c:f>
                <c:numCache>
                  <c:formatCode>General</c:formatCode>
                  <c:ptCount val="4"/>
                  <c:pt idx="0">
                    <c:v>3.6999999999999998E-2</c:v>
                  </c:pt>
                  <c:pt idx="1">
                    <c:v>2.8000000000000001E-2</c:v>
                  </c:pt>
                  <c:pt idx="2">
                    <c:v>4.8000000000000001E-2</c:v>
                  </c:pt>
                  <c:pt idx="3">
                    <c:v>3.5999999999999997E-2</c:v>
                  </c:pt>
                </c:numCache>
              </c:numRef>
            </c:plus>
            <c:minus>
              <c:numRef>
                <c:f>Sheet1!$K$61:$K$64</c:f>
                <c:numCache>
                  <c:formatCode>General</c:formatCode>
                  <c:ptCount val="4"/>
                  <c:pt idx="0">
                    <c:v>3.6999999999999998E-2</c:v>
                  </c:pt>
                  <c:pt idx="1">
                    <c:v>2.8000000000000001E-2</c:v>
                  </c:pt>
                  <c:pt idx="2">
                    <c:v>4.8000000000000001E-2</c:v>
                  </c:pt>
                  <c:pt idx="3">
                    <c:v>3.5999999999999997E-2</c:v>
                  </c:pt>
                </c:numCache>
              </c:numRef>
            </c:minus>
          </c:errBars>
          <c:cat>
            <c:strRef>
              <c:f>Sheet2!$A$162:$A$165</c:f>
              <c:strCache>
                <c:ptCount val="4"/>
                <c:pt idx="0">
                  <c:v>7 j</c:v>
                </c:pt>
                <c:pt idx="1">
                  <c:v>14 j</c:v>
                </c:pt>
                <c:pt idx="2">
                  <c:v>21 j</c:v>
                </c:pt>
                <c:pt idx="3">
                  <c:v>28 j</c:v>
                </c:pt>
              </c:strCache>
            </c:strRef>
          </c:cat>
          <c:val>
            <c:numRef>
              <c:f>Sheet2!$D$162:$D$165</c:f>
              <c:numCache>
                <c:formatCode>General</c:formatCode>
                <c:ptCount val="4"/>
                <c:pt idx="0">
                  <c:v>8.18</c:v>
                </c:pt>
                <c:pt idx="1">
                  <c:v>7.88</c:v>
                </c:pt>
                <c:pt idx="2">
                  <c:v>7.51</c:v>
                </c:pt>
                <c:pt idx="3">
                  <c:v>7.1499999999999995</c:v>
                </c:pt>
              </c:numCache>
            </c:numRef>
          </c:val>
        </c:ser>
        <c:ser>
          <c:idx val="3"/>
          <c:order val="3"/>
          <c:tx>
            <c:strRef>
              <c:f>Sheet2!$E$161</c:f>
              <c:strCache>
                <c:ptCount val="1"/>
                <c:pt idx="0">
                  <c:v>4 (H. Caseine)</c:v>
                </c:pt>
              </c:strCache>
            </c:strRef>
          </c:tx>
          <c:spPr>
            <a:solidFill>
              <a:srgbClr val="990099"/>
            </a:solidFill>
            <a:ln>
              <a:solidFill>
                <a:srgbClr val="990099"/>
              </a:solidFill>
            </a:ln>
          </c:spPr>
          <c:errBars>
            <c:errBarType val="both"/>
            <c:errValType val="cust"/>
            <c:plus>
              <c:numRef>
                <c:f>Sheet1!$L$61:$L$64</c:f>
                <c:numCache>
                  <c:formatCode>General</c:formatCode>
                  <c:ptCount val="4"/>
                  <c:pt idx="0">
                    <c:v>4.3000000000000003E-2</c:v>
                  </c:pt>
                  <c:pt idx="1">
                    <c:v>1.6000000000000021E-2</c:v>
                  </c:pt>
                  <c:pt idx="2">
                    <c:v>2.7000000000000138E-2</c:v>
                  </c:pt>
                  <c:pt idx="3">
                    <c:v>3.3000000000000002E-2</c:v>
                  </c:pt>
                </c:numCache>
              </c:numRef>
            </c:plus>
            <c:minus>
              <c:numRef>
                <c:f>Sheet1!$L$61:$L$64</c:f>
                <c:numCache>
                  <c:formatCode>General</c:formatCode>
                  <c:ptCount val="4"/>
                  <c:pt idx="0">
                    <c:v>4.3000000000000003E-2</c:v>
                  </c:pt>
                  <c:pt idx="1">
                    <c:v>1.6000000000000021E-2</c:v>
                  </c:pt>
                  <c:pt idx="2">
                    <c:v>2.7000000000000138E-2</c:v>
                  </c:pt>
                  <c:pt idx="3">
                    <c:v>3.3000000000000002E-2</c:v>
                  </c:pt>
                </c:numCache>
              </c:numRef>
            </c:minus>
          </c:errBars>
          <c:cat>
            <c:strRef>
              <c:f>Sheet2!$A$162:$A$165</c:f>
              <c:strCache>
                <c:ptCount val="4"/>
                <c:pt idx="0">
                  <c:v>7 j</c:v>
                </c:pt>
                <c:pt idx="1">
                  <c:v>14 j</c:v>
                </c:pt>
                <c:pt idx="2">
                  <c:v>21 j</c:v>
                </c:pt>
                <c:pt idx="3">
                  <c:v>28 j</c:v>
                </c:pt>
              </c:strCache>
            </c:strRef>
          </c:cat>
          <c:val>
            <c:numRef>
              <c:f>Sheet2!$E$162:$E$165</c:f>
              <c:numCache>
                <c:formatCode>General</c:formatCode>
                <c:ptCount val="4"/>
                <c:pt idx="0">
                  <c:v>8.68</c:v>
                </c:pt>
                <c:pt idx="1">
                  <c:v>8.3700000000000028</c:v>
                </c:pt>
                <c:pt idx="2">
                  <c:v>7.9300000000000024</c:v>
                </c:pt>
                <c:pt idx="3">
                  <c:v>7.5</c:v>
                </c:pt>
              </c:numCache>
            </c:numRef>
          </c:val>
        </c:ser>
        <c:ser>
          <c:idx val="4"/>
          <c:order val="4"/>
          <c:tx>
            <c:strRef>
              <c:f>Sheet2!$F$161</c:f>
              <c:strCache>
                <c:ptCount val="1"/>
                <c:pt idx="0">
                  <c:v>5 (H. Proteine)</c:v>
                </c:pt>
              </c:strCache>
            </c:strRef>
          </c:tx>
          <c:spPr>
            <a:solidFill>
              <a:srgbClr val="FF33CC"/>
            </a:solidFill>
            <a:ln>
              <a:solidFill>
                <a:srgbClr val="FF33CC"/>
              </a:solidFill>
            </a:ln>
          </c:spPr>
          <c:errBars>
            <c:errBarType val="both"/>
            <c:errValType val="cust"/>
            <c:plus>
              <c:numRef>
                <c:f>Sheet1!$M$61:$M$64</c:f>
                <c:numCache>
                  <c:formatCode>General</c:formatCode>
                  <c:ptCount val="4"/>
                  <c:pt idx="0">
                    <c:v>4.9000000000000113E-2</c:v>
                  </c:pt>
                  <c:pt idx="1">
                    <c:v>3.3000000000000002E-2</c:v>
                  </c:pt>
                  <c:pt idx="2">
                    <c:v>2.8000000000000001E-2</c:v>
                  </c:pt>
                  <c:pt idx="3">
                    <c:v>5.6000000000000001E-2</c:v>
                  </c:pt>
                </c:numCache>
              </c:numRef>
            </c:plus>
            <c:minus>
              <c:numRef>
                <c:f>Sheet1!$M$61:$M$64</c:f>
                <c:numCache>
                  <c:formatCode>General</c:formatCode>
                  <c:ptCount val="4"/>
                  <c:pt idx="0">
                    <c:v>4.9000000000000113E-2</c:v>
                  </c:pt>
                  <c:pt idx="1">
                    <c:v>3.3000000000000002E-2</c:v>
                  </c:pt>
                  <c:pt idx="2">
                    <c:v>2.8000000000000001E-2</c:v>
                  </c:pt>
                  <c:pt idx="3">
                    <c:v>5.6000000000000001E-2</c:v>
                  </c:pt>
                </c:numCache>
              </c:numRef>
            </c:minus>
          </c:errBars>
          <c:cat>
            <c:strRef>
              <c:f>Sheet2!$A$162:$A$165</c:f>
              <c:strCache>
                <c:ptCount val="4"/>
                <c:pt idx="0">
                  <c:v>7 j</c:v>
                </c:pt>
                <c:pt idx="1">
                  <c:v>14 j</c:v>
                </c:pt>
                <c:pt idx="2">
                  <c:v>21 j</c:v>
                </c:pt>
                <c:pt idx="3">
                  <c:v>28 j</c:v>
                </c:pt>
              </c:strCache>
            </c:strRef>
          </c:cat>
          <c:val>
            <c:numRef>
              <c:f>Sheet2!$F$162:$F$165</c:f>
              <c:numCache>
                <c:formatCode>General</c:formatCode>
                <c:ptCount val="4"/>
                <c:pt idx="0">
                  <c:v>10.030000000000001</c:v>
                </c:pt>
                <c:pt idx="1">
                  <c:v>9.84</c:v>
                </c:pt>
                <c:pt idx="2">
                  <c:v>9.6</c:v>
                </c:pt>
                <c:pt idx="3">
                  <c:v>9.07</c:v>
                </c:pt>
              </c:numCache>
            </c:numRef>
          </c:val>
        </c:ser>
        <c:axId val="53633408"/>
        <c:axId val="53635328"/>
      </c:barChart>
      <c:catAx>
        <c:axId val="53633408"/>
        <c:scaling>
          <c:orientation val="minMax"/>
        </c:scaling>
        <c:axPos val="b"/>
        <c:title>
          <c:tx>
            <c:rich>
              <a:bodyPr/>
              <a:lstStyle/>
              <a:p>
                <a:pPr>
                  <a:defRPr/>
                </a:pPr>
                <a:r>
                  <a:rPr lang="en-US">
                    <a:latin typeface="Times New Roman" pitchFamily="18" charset="0"/>
                    <a:cs typeface="Times New Roman" pitchFamily="18" charset="0"/>
                  </a:rPr>
                  <a:t>Entreposage à +4°C en jours</a:t>
                </a:r>
              </a:p>
            </c:rich>
          </c:tx>
          <c:layout>
            <c:manualLayout>
              <c:xMode val="edge"/>
              <c:yMode val="edge"/>
              <c:x val="0.3013329907657904"/>
              <c:y val="0.91336159903089031"/>
            </c:manualLayout>
          </c:layout>
        </c:title>
        <c:numFmt formatCode="General" sourceLinked="1"/>
        <c:tickLblPos val="nextTo"/>
        <c:spPr>
          <a:ln>
            <a:solidFill>
              <a:sysClr val="windowText" lastClr="000000"/>
            </a:solidFill>
          </a:ln>
        </c:spPr>
        <c:txPr>
          <a:bodyPr/>
          <a:lstStyle/>
          <a:p>
            <a:pPr>
              <a:defRPr b="1"/>
            </a:pPr>
            <a:endParaRPr lang="fr-FR"/>
          </a:p>
        </c:txPr>
        <c:crossAx val="53635328"/>
        <c:crosses val="autoZero"/>
        <c:auto val="1"/>
        <c:lblAlgn val="ctr"/>
        <c:lblOffset val="100"/>
      </c:catAx>
      <c:valAx>
        <c:axId val="53635328"/>
        <c:scaling>
          <c:orientation val="minMax"/>
          <c:max val="10.5"/>
          <c:min val="6.5"/>
        </c:scaling>
        <c:axPos val="l"/>
        <c:title>
          <c:tx>
            <c:rich>
              <a:bodyPr rot="-5400000" vert="horz"/>
              <a:lstStyle/>
              <a:p>
                <a:pPr>
                  <a:defRPr/>
                </a:pPr>
                <a:r>
                  <a:rPr lang="en-US">
                    <a:latin typeface="Times New Roman" pitchFamily="18" charset="0"/>
                    <a:cs typeface="Times New Roman" pitchFamily="18" charset="0"/>
                  </a:rPr>
                  <a:t>log</a:t>
                </a:r>
                <a:r>
                  <a:rPr lang="en-US"/>
                  <a:t> </a:t>
                </a:r>
                <a:r>
                  <a:rPr lang="en-US">
                    <a:latin typeface="Times New Roman" pitchFamily="18" charset="0"/>
                    <a:cs typeface="Times New Roman" pitchFamily="18" charset="0"/>
                  </a:rPr>
                  <a:t>UFC/ml</a:t>
                </a:r>
              </a:p>
            </c:rich>
          </c:tx>
          <c:layout/>
        </c:title>
        <c:numFmt formatCode="General" sourceLinked="1"/>
        <c:tickLblPos val="nextTo"/>
        <c:spPr>
          <a:ln>
            <a:solidFill>
              <a:sysClr val="windowText" lastClr="000000"/>
            </a:solidFill>
          </a:ln>
        </c:spPr>
        <c:txPr>
          <a:bodyPr/>
          <a:lstStyle/>
          <a:p>
            <a:pPr>
              <a:defRPr b="1"/>
            </a:pPr>
            <a:endParaRPr lang="fr-FR"/>
          </a:p>
        </c:txPr>
        <c:crossAx val="53633408"/>
        <c:crosses val="autoZero"/>
        <c:crossBetween val="between"/>
        <c:majorUnit val="0.5"/>
      </c:valAx>
    </c:plotArea>
    <c:plotVisOnly val="1"/>
    <c:dispBlanksAs val="gap"/>
  </c:chart>
  <c:spPr>
    <a:ln>
      <a:solidFill>
        <a:schemeClr val="bg1"/>
      </a:solidFill>
    </a:ln>
  </c:spPr>
  <c:externalData r:id="rId1"/>
  <c:userShapes r:id="rId2"/>
</c:chartSpace>
</file>

<file path=word/charts/chart55.xml><?xml version="1.0" encoding="utf-8"?>
<c:chartSpace xmlns:c="http://schemas.openxmlformats.org/drawingml/2006/chart" xmlns:a="http://schemas.openxmlformats.org/drawingml/2006/main" xmlns:r="http://schemas.openxmlformats.org/officeDocument/2006/relationships">
  <c:date1904 val="1"/>
  <c:lang val="fr-FR"/>
  <c:style val="26"/>
  <c:chart>
    <c:title>
      <c:tx>
        <c:rich>
          <a:bodyPr/>
          <a:lstStyle/>
          <a:p>
            <a:pPr>
              <a:defRPr/>
            </a:pPr>
            <a:r>
              <a:rPr lang="fr-FR" b="0">
                <a:latin typeface="Times New Roman" pitchFamily="18" charset="0"/>
                <a:cs typeface="Times New Roman" pitchFamily="18" charset="0"/>
              </a:rPr>
              <a:t>A</a:t>
            </a:r>
          </a:p>
        </c:rich>
      </c:tx>
      <c:layout>
        <c:manualLayout>
          <c:xMode val="edge"/>
          <c:yMode val="edge"/>
          <c:x val="1.7511440753961618E-2"/>
          <c:y val="0"/>
        </c:manualLayout>
      </c:layout>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24031735195481171"/>
          <c:y val="0.13238914392942094"/>
          <c:w val="0.71145386767873764"/>
          <c:h val="0.67032958994879865"/>
        </c:manualLayout>
      </c:layout>
      <c:barChart>
        <c:barDir val="col"/>
        <c:grouping val="clustered"/>
        <c:ser>
          <c:idx val="0"/>
          <c:order val="0"/>
          <c:tx>
            <c:strRef>
              <c:f>Sheet2!$B$166</c:f>
              <c:strCache>
                <c:ptCount val="1"/>
                <c:pt idx="0">
                  <c:v>1 (Temoin)</c:v>
                </c:pt>
              </c:strCache>
            </c:strRef>
          </c:tx>
          <c:spPr>
            <a:solidFill>
              <a:srgbClr val="0070C0"/>
            </a:solidFill>
            <a:ln>
              <a:solidFill>
                <a:srgbClr val="0070C0"/>
              </a:solidFill>
            </a:ln>
          </c:spPr>
          <c:errBars>
            <c:errBarType val="both"/>
            <c:errValType val="cust"/>
            <c:plus>
              <c:numRef>
                <c:f>Sheet1!$I$61:$M$61</c:f>
                <c:numCache>
                  <c:formatCode>General</c:formatCode>
                  <c:ptCount val="5"/>
                  <c:pt idx="0">
                    <c:v>8.7000000000000022E-2</c:v>
                  </c:pt>
                  <c:pt idx="1">
                    <c:v>3.2000000000000042E-2</c:v>
                  </c:pt>
                  <c:pt idx="2">
                    <c:v>3.6999999999999998E-2</c:v>
                  </c:pt>
                  <c:pt idx="3">
                    <c:v>6.0000000000000032E-2</c:v>
                  </c:pt>
                  <c:pt idx="4">
                    <c:v>7.5999999999999998E-2</c:v>
                  </c:pt>
                </c:numCache>
              </c:numRef>
            </c:plus>
            <c:minus>
              <c:numRef>
                <c:f>Sheet1!$I$61:$M$61</c:f>
                <c:numCache>
                  <c:formatCode>General</c:formatCode>
                  <c:ptCount val="5"/>
                  <c:pt idx="0">
                    <c:v>8.7000000000000022E-2</c:v>
                  </c:pt>
                  <c:pt idx="1">
                    <c:v>3.2000000000000042E-2</c:v>
                  </c:pt>
                  <c:pt idx="2">
                    <c:v>3.6999999999999998E-2</c:v>
                  </c:pt>
                  <c:pt idx="3">
                    <c:v>6.0000000000000032E-2</c:v>
                  </c:pt>
                  <c:pt idx="4">
                    <c:v>7.5999999999999998E-2</c:v>
                  </c:pt>
                </c:numCache>
              </c:numRef>
            </c:minus>
          </c:errBars>
          <c:cat>
            <c:strRef>
              <c:f>Sheet2!$A$167:$A$170</c:f>
              <c:strCache>
                <c:ptCount val="4"/>
                <c:pt idx="0">
                  <c:v>7 j</c:v>
                </c:pt>
                <c:pt idx="1">
                  <c:v>14 j</c:v>
                </c:pt>
                <c:pt idx="2">
                  <c:v>21 j</c:v>
                </c:pt>
                <c:pt idx="3">
                  <c:v>28 j</c:v>
                </c:pt>
              </c:strCache>
            </c:strRef>
          </c:cat>
          <c:val>
            <c:numRef>
              <c:f>Sheet2!$B$167:$B$170</c:f>
              <c:numCache>
                <c:formatCode>General</c:formatCode>
                <c:ptCount val="4"/>
                <c:pt idx="0">
                  <c:v>7.02</c:v>
                </c:pt>
                <c:pt idx="1">
                  <c:v>6.6499999999999995</c:v>
                </c:pt>
                <c:pt idx="2">
                  <c:v>6.08</c:v>
                </c:pt>
                <c:pt idx="3">
                  <c:v>5.73</c:v>
                </c:pt>
              </c:numCache>
            </c:numRef>
          </c:val>
        </c:ser>
        <c:ser>
          <c:idx val="1"/>
          <c:order val="1"/>
          <c:tx>
            <c:strRef>
              <c:f>Sheet2!$C$166</c:f>
              <c:strCache>
                <c:ptCount val="1"/>
                <c:pt idx="0">
                  <c:v>2 (Lactoserum)</c:v>
                </c:pt>
              </c:strCache>
            </c:strRef>
          </c:tx>
          <c:spPr>
            <a:solidFill>
              <a:srgbClr val="FF9900"/>
            </a:solidFill>
            <a:ln>
              <a:solidFill>
                <a:srgbClr val="FF9900"/>
              </a:solidFill>
            </a:ln>
          </c:spPr>
          <c:errBars>
            <c:errBarType val="both"/>
            <c:errValType val="cust"/>
            <c:plus>
              <c:numRef>
                <c:f>Sheet1!$I$62:$M$62</c:f>
                <c:numCache>
                  <c:formatCode>General</c:formatCode>
                  <c:ptCount val="5"/>
                  <c:pt idx="0">
                    <c:v>3.6999999999999998E-2</c:v>
                  </c:pt>
                  <c:pt idx="1">
                    <c:v>2.5999999999999999E-2</c:v>
                  </c:pt>
                  <c:pt idx="2">
                    <c:v>3.5999999999999997E-2</c:v>
                  </c:pt>
                  <c:pt idx="3">
                    <c:v>3.1000000000000052E-2</c:v>
                  </c:pt>
                  <c:pt idx="4">
                    <c:v>3.0000000000000002E-2</c:v>
                  </c:pt>
                </c:numCache>
              </c:numRef>
            </c:plus>
            <c:minus>
              <c:numRef>
                <c:f>Sheet1!$I$62:$M$62</c:f>
                <c:numCache>
                  <c:formatCode>General</c:formatCode>
                  <c:ptCount val="5"/>
                  <c:pt idx="0">
                    <c:v>3.6999999999999998E-2</c:v>
                  </c:pt>
                  <c:pt idx="1">
                    <c:v>2.5999999999999999E-2</c:v>
                  </c:pt>
                  <c:pt idx="2">
                    <c:v>3.5999999999999997E-2</c:v>
                  </c:pt>
                  <c:pt idx="3">
                    <c:v>3.1000000000000052E-2</c:v>
                  </c:pt>
                  <c:pt idx="4">
                    <c:v>3.0000000000000002E-2</c:v>
                  </c:pt>
                </c:numCache>
              </c:numRef>
            </c:minus>
          </c:errBars>
          <c:cat>
            <c:strRef>
              <c:f>Sheet2!$A$167:$A$170</c:f>
              <c:strCache>
                <c:ptCount val="4"/>
                <c:pt idx="0">
                  <c:v>7 j</c:v>
                </c:pt>
                <c:pt idx="1">
                  <c:v>14 j</c:v>
                </c:pt>
                <c:pt idx="2">
                  <c:v>21 j</c:v>
                </c:pt>
                <c:pt idx="3">
                  <c:v>28 j</c:v>
                </c:pt>
              </c:strCache>
            </c:strRef>
          </c:cat>
          <c:val>
            <c:numRef>
              <c:f>Sheet2!$C$167:$C$170</c:f>
              <c:numCache>
                <c:formatCode>General</c:formatCode>
                <c:ptCount val="4"/>
                <c:pt idx="0">
                  <c:v>9.57</c:v>
                </c:pt>
                <c:pt idx="1">
                  <c:v>8.32</c:v>
                </c:pt>
                <c:pt idx="2">
                  <c:v>8.1300000000000008</c:v>
                </c:pt>
                <c:pt idx="3">
                  <c:v>8.57</c:v>
                </c:pt>
              </c:numCache>
            </c:numRef>
          </c:val>
        </c:ser>
        <c:ser>
          <c:idx val="2"/>
          <c:order val="2"/>
          <c:tx>
            <c:strRef>
              <c:f>Sheet2!$D$166</c:f>
              <c:strCache>
                <c:ptCount val="1"/>
                <c:pt idx="0">
                  <c:v>3 (Promilk)</c:v>
                </c:pt>
              </c:strCache>
            </c:strRef>
          </c:tx>
          <c:spPr>
            <a:solidFill>
              <a:srgbClr val="92D050"/>
            </a:solidFill>
            <a:ln>
              <a:solidFill>
                <a:srgbClr val="92D050"/>
              </a:solidFill>
            </a:ln>
          </c:spPr>
          <c:errBars>
            <c:errBarType val="both"/>
            <c:errValType val="cust"/>
            <c:plus>
              <c:numRef>
                <c:f>Sheet1!$I$63:$M$63</c:f>
                <c:numCache>
                  <c:formatCode>General</c:formatCode>
                  <c:ptCount val="5"/>
                  <c:pt idx="0">
                    <c:v>5.7000000000000023E-2</c:v>
                  </c:pt>
                  <c:pt idx="1">
                    <c:v>4.8000000000000001E-2</c:v>
                  </c:pt>
                  <c:pt idx="2">
                    <c:v>3.3000000000000002E-2</c:v>
                  </c:pt>
                  <c:pt idx="3">
                    <c:v>3.2000000000000042E-2</c:v>
                  </c:pt>
                  <c:pt idx="4">
                    <c:v>7.0999999999999994E-2</c:v>
                  </c:pt>
                </c:numCache>
              </c:numRef>
            </c:plus>
            <c:minus>
              <c:numRef>
                <c:f>Sheet1!$I$63:$M$63</c:f>
                <c:numCache>
                  <c:formatCode>General</c:formatCode>
                  <c:ptCount val="5"/>
                  <c:pt idx="0">
                    <c:v>5.7000000000000023E-2</c:v>
                  </c:pt>
                  <c:pt idx="1">
                    <c:v>4.8000000000000001E-2</c:v>
                  </c:pt>
                  <c:pt idx="2">
                    <c:v>3.3000000000000002E-2</c:v>
                  </c:pt>
                  <c:pt idx="3">
                    <c:v>3.2000000000000042E-2</c:v>
                  </c:pt>
                  <c:pt idx="4">
                    <c:v>7.0999999999999994E-2</c:v>
                  </c:pt>
                </c:numCache>
              </c:numRef>
            </c:minus>
          </c:errBars>
          <c:cat>
            <c:strRef>
              <c:f>Sheet2!$A$167:$A$170</c:f>
              <c:strCache>
                <c:ptCount val="4"/>
                <c:pt idx="0">
                  <c:v>7 j</c:v>
                </c:pt>
                <c:pt idx="1">
                  <c:v>14 j</c:v>
                </c:pt>
                <c:pt idx="2">
                  <c:v>21 j</c:v>
                </c:pt>
                <c:pt idx="3">
                  <c:v>28 j</c:v>
                </c:pt>
              </c:strCache>
            </c:strRef>
          </c:cat>
          <c:val>
            <c:numRef>
              <c:f>Sheet2!$D$167:$D$170</c:f>
              <c:numCache>
                <c:formatCode>General</c:formatCode>
                <c:ptCount val="4"/>
                <c:pt idx="0">
                  <c:v>8.18</c:v>
                </c:pt>
                <c:pt idx="1">
                  <c:v>7.8599999999999985</c:v>
                </c:pt>
                <c:pt idx="2">
                  <c:v>7.1099999999999985</c:v>
                </c:pt>
                <c:pt idx="3">
                  <c:v>6.95</c:v>
                </c:pt>
              </c:numCache>
            </c:numRef>
          </c:val>
        </c:ser>
        <c:ser>
          <c:idx val="3"/>
          <c:order val="3"/>
          <c:tx>
            <c:strRef>
              <c:f>Sheet2!$E$166</c:f>
              <c:strCache>
                <c:ptCount val="1"/>
                <c:pt idx="0">
                  <c:v>4 (H. Caseine)</c:v>
                </c:pt>
              </c:strCache>
            </c:strRef>
          </c:tx>
          <c:spPr>
            <a:solidFill>
              <a:srgbClr val="990099"/>
            </a:solidFill>
            <a:ln>
              <a:solidFill>
                <a:srgbClr val="990099"/>
              </a:solidFill>
            </a:ln>
          </c:spPr>
          <c:errBars>
            <c:errBarType val="both"/>
            <c:errValType val="cust"/>
            <c:plus>
              <c:numRef>
                <c:f>Sheet1!$I$64:$M$64</c:f>
                <c:numCache>
                  <c:formatCode>General</c:formatCode>
                  <c:ptCount val="5"/>
                  <c:pt idx="0">
                    <c:v>3.9000000000000014E-2</c:v>
                  </c:pt>
                  <c:pt idx="1">
                    <c:v>2.5999999999999999E-2</c:v>
                  </c:pt>
                  <c:pt idx="2">
                    <c:v>3.0000000000000002E-2</c:v>
                  </c:pt>
                  <c:pt idx="3">
                    <c:v>2.1000000000000012E-2</c:v>
                  </c:pt>
                  <c:pt idx="4">
                    <c:v>5.3000000000000012E-2</c:v>
                  </c:pt>
                </c:numCache>
              </c:numRef>
            </c:plus>
            <c:minus>
              <c:numRef>
                <c:f>Sheet1!$I$64:$M$64</c:f>
                <c:numCache>
                  <c:formatCode>General</c:formatCode>
                  <c:ptCount val="5"/>
                  <c:pt idx="0">
                    <c:v>3.9000000000000014E-2</c:v>
                  </c:pt>
                  <c:pt idx="1">
                    <c:v>2.5999999999999999E-2</c:v>
                  </c:pt>
                  <c:pt idx="2">
                    <c:v>3.0000000000000002E-2</c:v>
                  </c:pt>
                  <c:pt idx="3">
                    <c:v>2.1000000000000012E-2</c:v>
                  </c:pt>
                  <c:pt idx="4">
                    <c:v>5.3000000000000012E-2</c:v>
                  </c:pt>
                </c:numCache>
              </c:numRef>
            </c:minus>
          </c:errBars>
          <c:cat>
            <c:strRef>
              <c:f>Sheet2!$A$167:$A$170</c:f>
              <c:strCache>
                <c:ptCount val="4"/>
                <c:pt idx="0">
                  <c:v>7 j</c:v>
                </c:pt>
                <c:pt idx="1">
                  <c:v>14 j</c:v>
                </c:pt>
                <c:pt idx="2">
                  <c:v>21 j</c:v>
                </c:pt>
                <c:pt idx="3">
                  <c:v>28 j</c:v>
                </c:pt>
              </c:strCache>
            </c:strRef>
          </c:cat>
          <c:val>
            <c:numRef>
              <c:f>Sheet2!$E$167:$E$170</c:f>
              <c:numCache>
                <c:formatCode>General</c:formatCode>
                <c:ptCount val="4"/>
                <c:pt idx="0">
                  <c:v>8.4500000000000028</c:v>
                </c:pt>
                <c:pt idx="1">
                  <c:v>8.0300000000000011</c:v>
                </c:pt>
                <c:pt idx="2">
                  <c:v>7.9</c:v>
                </c:pt>
                <c:pt idx="3">
                  <c:v>7.46</c:v>
                </c:pt>
              </c:numCache>
            </c:numRef>
          </c:val>
        </c:ser>
        <c:ser>
          <c:idx val="4"/>
          <c:order val="4"/>
          <c:tx>
            <c:strRef>
              <c:f>Sheet2!$F$166</c:f>
              <c:strCache>
                <c:ptCount val="1"/>
                <c:pt idx="0">
                  <c:v>5 (H. Proteine)</c:v>
                </c:pt>
              </c:strCache>
            </c:strRef>
          </c:tx>
          <c:spPr>
            <a:solidFill>
              <a:srgbClr val="FF33CC"/>
            </a:solidFill>
            <a:ln>
              <a:solidFill>
                <a:srgbClr val="FF33CC"/>
              </a:solidFill>
            </a:ln>
          </c:spPr>
          <c:errBars>
            <c:errBarType val="both"/>
            <c:errValType val="cust"/>
            <c:plus>
              <c:numRef>
                <c:f>Sheet2!$M$167:$M$170</c:f>
                <c:numCache>
                  <c:formatCode>General</c:formatCode>
                  <c:ptCount val="4"/>
                  <c:pt idx="0">
                    <c:v>7.5999999999999998E-2</c:v>
                  </c:pt>
                  <c:pt idx="1">
                    <c:v>3.0000000000000002E-2</c:v>
                  </c:pt>
                  <c:pt idx="2">
                    <c:v>7.0999999999999994E-2</c:v>
                  </c:pt>
                  <c:pt idx="3">
                    <c:v>5.3000000000000012E-2</c:v>
                  </c:pt>
                </c:numCache>
              </c:numRef>
            </c:plus>
            <c:minus>
              <c:numRef>
                <c:f>Sheet2!$M$167:$M$170</c:f>
                <c:numCache>
                  <c:formatCode>General</c:formatCode>
                  <c:ptCount val="4"/>
                  <c:pt idx="0">
                    <c:v>7.5999999999999998E-2</c:v>
                  </c:pt>
                  <c:pt idx="1">
                    <c:v>3.0000000000000002E-2</c:v>
                  </c:pt>
                  <c:pt idx="2">
                    <c:v>7.0999999999999994E-2</c:v>
                  </c:pt>
                  <c:pt idx="3">
                    <c:v>5.3000000000000012E-2</c:v>
                  </c:pt>
                </c:numCache>
              </c:numRef>
            </c:minus>
          </c:errBars>
          <c:cat>
            <c:strRef>
              <c:f>Sheet2!$A$167:$A$170</c:f>
              <c:strCache>
                <c:ptCount val="4"/>
                <c:pt idx="0">
                  <c:v>7 j</c:v>
                </c:pt>
                <c:pt idx="1">
                  <c:v>14 j</c:v>
                </c:pt>
                <c:pt idx="2">
                  <c:v>21 j</c:v>
                </c:pt>
                <c:pt idx="3">
                  <c:v>28 j</c:v>
                </c:pt>
              </c:strCache>
            </c:strRef>
          </c:cat>
          <c:val>
            <c:numRef>
              <c:f>Sheet2!$F$167:$F$170</c:f>
              <c:numCache>
                <c:formatCode>General</c:formatCode>
                <c:ptCount val="4"/>
                <c:pt idx="0">
                  <c:v>9.08</c:v>
                </c:pt>
                <c:pt idx="1">
                  <c:v>8.92</c:v>
                </c:pt>
                <c:pt idx="2">
                  <c:v>8.51</c:v>
                </c:pt>
                <c:pt idx="3">
                  <c:v>8.0500000000000007</c:v>
                </c:pt>
              </c:numCache>
            </c:numRef>
          </c:val>
        </c:ser>
        <c:axId val="53812224"/>
        <c:axId val="53830784"/>
      </c:barChart>
      <c:catAx>
        <c:axId val="53812224"/>
        <c:scaling>
          <c:orientation val="minMax"/>
        </c:scaling>
        <c:axPos val="b"/>
        <c:title>
          <c:tx>
            <c:rich>
              <a:bodyPr/>
              <a:lstStyle/>
              <a:p>
                <a:pPr>
                  <a:defRPr/>
                </a:pPr>
                <a:r>
                  <a:rPr lang="fr-FR">
                    <a:latin typeface="Times New Roman" pitchFamily="18" charset="0"/>
                    <a:cs typeface="Times New Roman" pitchFamily="18" charset="0"/>
                  </a:rPr>
                  <a:t>Entreposage à +4°C en jours</a:t>
                </a:r>
              </a:p>
            </c:rich>
          </c:tx>
          <c:layout>
            <c:manualLayout>
              <c:xMode val="edge"/>
              <c:yMode val="edge"/>
              <c:x val="0.29365123752054356"/>
              <c:y val="0.92637009789834668"/>
            </c:manualLayout>
          </c:layout>
        </c:title>
        <c:numFmt formatCode="General" sourceLinked="1"/>
        <c:tickLblPos val="nextTo"/>
        <c:spPr>
          <a:ln>
            <a:solidFill>
              <a:sysClr val="windowText" lastClr="000000"/>
            </a:solidFill>
          </a:ln>
        </c:spPr>
        <c:txPr>
          <a:bodyPr rot="0" vert="horz"/>
          <a:lstStyle/>
          <a:p>
            <a:pPr>
              <a:defRPr b="1"/>
            </a:pPr>
            <a:endParaRPr lang="fr-FR"/>
          </a:p>
        </c:txPr>
        <c:crossAx val="53830784"/>
        <c:crosses val="autoZero"/>
        <c:auto val="1"/>
        <c:lblAlgn val="ctr"/>
        <c:lblOffset val="100"/>
      </c:catAx>
      <c:valAx>
        <c:axId val="53830784"/>
        <c:scaling>
          <c:orientation val="minMax"/>
          <c:max val="10"/>
          <c:min val="5"/>
        </c:scaling>
        <c:axPos val="l"/>
        <c:title>
          <c:tx>
            <c:rich>
              <a:bodyPr/>
              <a:lstStyle/>
              <a:p>
                <a:pPr>
                  <a:defRPr/>
                </a:pPr>
                <a:r>
                  <a:rPr lang="fr-FR">
                    <a:latin typeface="Times New Roman" pitchFamily="18" charset="0"/>
                    <a:cs typeface="Times New Roman" pitchFamily="18" charset="0"/>
                  </a:rPr>
                  <a:t>log</a:t>
                </a:r>
                <a:r>
                  <a:rPr lang="fr-FR"/>
                  <a:t> </a:t>
                </a:r>
                <a:r>
                  <a:rPr lang="fr-FR">
                    <a:latin typeface="Times New Roman" pitchFamily="18" charset="0"/>
                    <a:cs typeface="Times New Roman" pitchFamily="18" charset="0"/>
                  </a:rPr>
                  <a:t>UFC/ml</a:t>
                </a:r>
              </a:p>
            </c:rich>
          </c:tx>
          <c:layout/>
        </c:title>
        <c:numFmt formatCode="General" sourceLinked="1"/>
        <c:tickLblPos val="nextTo"/>
        <c:spPr>
          <a:ln>
            <a:solidFill>
              <a:sysClr val="windowText" lastClr="000000"/>
            </a:solidFill>
          </a:ln>
        </c:spPr>
        <c:txPr>
          <a:bodyPr rot="0" vert="horz"/>
          <a:lstStyle/>
          <a:p>
            <a:pPr>
              <a:defRPr b="1"/>
            </a:pPr>
            <a:endParaRPr lang="fr-FR"/>
          </a:p>
        </c:txPr>
        <c:crossAx val="53812224"/>
        <c:crosses val="autoZero"/>
        <c:crossBetween val="between"/>
        <c:majorUnit val="0.5"/>
      </c:valAx>
    </c:plotArea>
    <c:plotVisOnly val="1"/>
    <c:dispBlanksAs val="gap"/>
  </c:chart>
  <c:spPr>
    <a:ln>
      <a:solidFill>
        <a:schemeClr val="bg1"/>
      </a:solidFill>
    </a:ln>
  </c:spPr>
  <c:externalData r:id="rId1"/>
  <c:userShapes r:id="rId2"/>
</c:chartSpace>
</file>

<file path=word/charts/chart56.xml><?xml version="1.0" encoding="utf-8"?>
<c:chartSpace xmlns:c="http://schemas.openxmlformats.org/drawingml/2006/chart" xmlns:a="http://schemas.openxmlformats.org/drawingml/2006/main" xmlns:r="http://schemas.openxmlformats.org/officeDocument/2006/relationships">
  <c:date1904 val="1"/>
  <c:lang val="fr-FR"/>
  <c:style val="26"/>
  <c:chart>
    <c:title>
      <c:tx>
        <c:rich>
          <a:bodyPr/>
          <a:lstStyle/>
          <a:p>
            <a:pPr>
              <a:defRPr/>
            </a:pPr>
            <a:r>
              <a:rPr lang="fr-FR" b="0">
                <a:latin typeface="Times New Roman" pitchFamily="18" charset="0"/>
                <a:cs typeface="Times New Roman" pitchFamily="18" charset="0"/>
              </a:rPr>
              <a:t>B</a:t>
            </a:r>
          </a:p>
        </c:rich>
      </c:tx>
      <c:layout>
        <c:manualLayout>
          <c:xMode val="edge"/>
          <c:yMode val="edge"/>
          <c:x val="3.6373737954288631E-3"/>
          <c:y val="0"/>
        </c:manualLayout>
      </c:layout>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21753970534705094"/>
          <c:y val="0.11797307594615226"/>
          <c:w val="0.76177673046343908"/>
          <c:h val="0.66969181271696165"/>
        </c:manualLayout>
      </c:layout>
      <c:barChart>
        <c:barDir val="col"/>
        <c:grouping val="clustered"/>
        <c:ser>
          <c:idx val="0"/>
          <c:order val="0"/>
          <c:tx>
            <c:strRef>
              <c:f>Sheet2!$B$114</c:f>
              <c:strCache>
                <c:ptCount val="1"/>
                <c:pt idx="0">
                  <c:v>1 (Temoin)</c:v>
                </c:pt>
              </c:strCache>
            </c:strRef>
          </c:tx>
          <c:spPr>
            <a:solidFill>
              <a:srgbClr val="0070C0"/>
            </a:solidFill>
            <a:ln>
              <a:solidFill>
                <a:srgbClr val="0070C0"/>
              </a:solidFill>
            </a:ln>
          </c:spPr>
          <c:errBars>
            <c:errBarType val="both"/>
            <c:errValType val="cust"/>
            <c:plus>
              <c:numRef>
                <c:f>Sheet1!$I$45:$I$48</c:f>
                <c:numCache>
                  <c:formatCode>General</c:formatCode>
                  <c:ptCount val="4"/>
                  <c:pt idx="0">
                    <c:v>3.5999999999999997E-2</c:v>
                  </c:pt>
                  <c:pt idx="1">
                    <c:v>3.7999999999999999E-2</c:v>
                  </c:pt>
                  <c:pt idx="2">
                    <c:v>3.5999999999999997E-2</c:v>
                  </c:pt>
                  <c:pt idx="3">
                    <c:v>6.0000000000000032E-2</c:v>
                  </c:pt>
                </c:numCache>
              </c:numRef>
            </c:plus>
            <c:minus>
              <c:numRef>
                <c:f>Sheet1!$I$45:$I$48</c:f>
                <c:numCache>
                  <c:formatCode>General</c:formatCode>
                  <c:ptCount val="4"/>
                  <c:pt idx="0">
                    <c:v>3.5999999999999997E-2</c:v>
                  </c:pt>
                  <c:pt idx="1">
                    <c:v>3.7999999999999999E-2</c:v>
                  </c:pt>
                  <c:pt idx="2">
                    <c:v>3.5999999999999997E-2</c:v>
                  </c:pt>
                  <c:pt idx="3">
                    <c:v>6.0000000000000032E-2</c:v>
                  </c:pt>
                </c:numCache>
              </c:numRef>
            </c:minus>
          </c:errBars>
          <c:cat>
            <c:strRef>
              <c:f>Sheet2!$A$115:$A$118</c:f>
              <c:strCache>
                <c:ptCount val="4"/>
                <c:pt idx="0">
                  <c:v>7 j</c:v>
                </c:pt>
                <c:pt idx="1">
                  <c:v>14 j</c:v>
                </c:pt>
                <c:pt idx="2">
                  <c:v>21 j</c:v>
                </c:pt>
                <c:pt idx="3">
                  <c:v>28 j</c:v>
                </c:pt>
              </c:strCache>
            </c:strRef>
          </c:cat>
          <c:val>
            <c:numRef>
              <c:f>Sheet2!$B$115:$B$118</c:f>
              <c:numCache>
                <c:formatCode>General</c:formatCode>
                <c:ptCount val="4"/>
                <c:pt idx="0">
                  <c:v>6.48</c:v>
                </c:pt>
                <c:pt idx="1">
                  <c:v>6.1099999999999985</c:v>
                </c:pt>
                <c:pt idx="2">
                  <c:v>5.95</c:v>
                </c:pt>
                <c:pt idx="3">
                  <c:v>5.71</c:v>
                </c:pt>
              </c:numCache>
            </c:numRef>
          </c:val>
        </c:ser>
        <c:ser>
          <c:idx val="1"/>
          <c:order val="1"/>
          <c:tx>
            <c:strRef>
              <c:f>Sheet2!$C$114</c:f>
              <c:strCache>
                <c:ptCount val="1"/>
                <c:pt idx="0">
                  <c:v>2 (Lactoserum)</c:v>
                </c:pt>
              </c:strCache>
            </c:strRef>
          </c:tx>
          <c:spPr>
            <a:solidFill>
              <a:srgbClr val="FF9900"/>
            </a:solidFill>
            <a:ln>
              <a:solidFill>
                <a:srgbClr val="FF9900"/>
              </a:solidFill>
            </a:ln>
          </c:spPr>
          <c:errBars>
            <c:errBarType val="both"/>
            <c:errValType val="cust"/>
            <c:plus>
              <c:numRef>
                <c:f>Sheet1!$J$45:$J$48</c:f>
                <c:numCache>
                  <c:formatCode>General</c:formatCode>
                  <c:ptCount val="4"/>
                  <c:pt idx="0">
                    <c:v>4.3000000000000003E-2</c:v>
                  </c:pt>
                  <c:pt idx="1">
                    <c:v>1.7999999999999999E-2</c:v>
                  </c:pt>
                  <c:pt idx="2">
                    <c:v>0.05</c:v>
                  </c:pt>
                  <c:pt idx="3">
                    <c:v>3.2000000000000042E-2</c:v>
                  </c:pt>
                </c:numCache>
              </c:numRef>
            </c:plus>
            <c:minus>
              <c:numRef>
                <c:f>Sheet1!$J$45:$J$48</c:f>
                <c:numCache>
                  <c:formatCode>General</c:formatCode>
                  <c:ptCount val="4"/>
                  <c:pt idx="0">
                    <c:v>4.3000000000000003E-2</c:v>
                  </c:pt>
                  <c:pt idx="1">
                    <c:v>1.7999999999999999E-2</c:v>
                  </c:pt>
                  <c:pt idx="2">
                    <c:v>0.05</c:v>
                  </c:pt>
                  <c:pt idx="3">
                    <c:v>3.2000000000000042E-2</c:v>
                  </c:pt>
                </c:numCache>
              </c:numRef>
            </c:minus>
          </c:errBars>
          <c:cat>
            <c:strRef>
              <c:f>Sheet2!$A$115:$A$118</c:f>
              <c:strCache>
                <c:ptCount val="4"/>
                <c:pt idx="0">
                  <c:v>7 j</c:v>
                </c:pt>
                <c:pt idx="1">
                  <c:v>14 j</c:v>
                </c:pt>
                <c:pt idx="2">
                  <c:v>21 j</c:v>
                </c:pt>
                <c:pt idx="3">
                  <c:v>28 j</c:v>
                </c:pt>
              </c:strCache>
            </c:strRef>
          </c:cat>
          <c:val>
            <c:numRef>
              <c:f>Sheet2!$C$115:$C$118</c:f>
              <c:numCache>
                <c:formatCode>General</c:formatCode>
                <c:ptCount val="4"/>
                <c:pt idx="0">
                  <c:v>9.1300000000000008</c:v>
                </c:pt>
                <c:pt idx="1">
                  <c:v>8.91</c:v>
                </c:pt>
                <c:pt idx="2">
                  <c:v>8.51</c:v>
                </c:pt>
                <c:pt idx="3">
                  <c:v>7.9300000000000024</c:v>
                </c:pt>
              </c:numCache>
            </c:numRef>
          </c:val>
        </c:ser>
        <c:ser>
          <c:idx val="2"/>
          <c:order val="2"/>
          <c:tx>
            <c:strRef>
              <c:f>Sheet2!$D$114</c:f>
              <c:strCache>
                <c:ptCount val="1"/>
                <c:pt idx="0">
                  <c:v>3 (Promilk)</c:v>
                </c:pt>
              </c:strCache>
            </c:strRef>
          </c:tx>
          <c:spPr>
            <a:solidFill>
              <a:srgbClr val="92D050"/>
            </a:solidFill>
            <a:ln>
              <a:solidFill>
                <a:srgbClr val="92D050"/>
              </a:solidFill>
            </a:ln>
          </c:spPr>
          <c:errBars>
            <c:errBarType val="both"/>
            <c:errValType val="cust"/>
            <c:plus>
              <c:numRef>
                <c:f>Sheet1!$K$45:$K$48</c:f>
                <c:numCache>
                  <c:formatCode>General</c:formatCode>
                  <c:ptCount val="4"/>
                  <c:pt idx="0">
                    <c:v>4.5999999999999999E-2</c:v>
                  </c:pt>
                  <c:pt idx="1">
                    <c:v>4.7000000000000014E-2</c:v>
                  </c:pt>
                  <c:pt idx="2">
                    <c:v>2.9000000000000001E-2</c:v>
                  </c:pt>
                  <c:pt idx="3">
                    <c:v>4.0000000000000022E-2</c:v>
                  </c:pt>
                </c:numCache>
              </c:numRef>
            </c:plus>
            <c:minus>
              <c:numRef>
                <c:f>Sheet1!$K$45:$K$48</c:f>
                <c:numCache>
                  <c:formatCode>General</c:formatCode>
                  <c:ptCount val="4"/>
                  <c:pt idx="0">
                    <c:v>4.5999999999999999E-2</c:v>
                  </c:pt>
                  <c:pt idx="1">
                    <c:v>4.7000000000000014E-2</c:v>
                  </c:pt>
                  <c:pt idx="2">
                    <c:v>2.9000000000000001E-2</c:v>
                  </c:pt>
                  <c:pt idx="3">
                    <c:v>4.0000000000000022E-2</c:v>
                  </c:pt>
                </c:numCache>
              </c:numRef>
            </c:minus>
          </c:errBars>
          <c:cat>
            <c:strRef>
              <c:f>Sheet2!$A$115:$A$118</c:f>
              <c:strCache>
                <c:ptCount val="4"/>
                <c:pt idx="0">
                  <c:v>7 j</c:v>
                </c:pt>
                <c:pt idx="1">
                  <c:v>14 j</c:v>
                </c:pt>
                <c:pt idx="2">
                  <c:v>21 j</c:v>
                </c:pt>
                <c:pt idx="3">
                  <c:v>28 j</c:v>
                </c:pt>
              </c:strCache>
            </c:strRef>
          </c:cat>
          <c:val>
            <c:numRef>
              <c:f>Sheet2!$D$115:$D$118</c:f>
              <c:numCache>
                <c:formatCode>General</c:formatCode>
                <c:ptCount val="4"/>
                <c:pt idx="0">
                  <c:v>7.52</c:v>
                </c:pt>
                <c:pt idx="1">
                  <c:v>7.13</c:v>
                </c:pt>
                <c:pt idx="2">
                  <c:v>6.76</c:v>
                </c:pt>
                <c:pt idx="3">
                  <c:v>6.53</c:v>
                </c:pt>
              </c:numCache>
            </c:numRef>
          </c:val>
        </c:ser>
        <c:ser>
          <c:idx val="3"/>
          <c:order val="3"/>
          <c:tx>
            <c:strRef>
              <c:f>Sheet2!$E$114</c:f>
              <c:strCache>
                <c:ptCount val="1"/>
                <c:pt idx="0">
                  <c:v>4 (H. Caseine)</c:v>
                </c:pt>
              </c:strCache>
            </c:strRef>
          </c:tx>
          <c:spPr>
            <a:solidFill>
              <a:srgbClr val="990099"/>
            </a:solidFill>
            <a:ln>
              <a:solidFill>
                <a:srgbClr val="990099"/>
              </a:solidFill>
            </a:ln>
          </c:spPr>
          <c:errBars>
            <c:errBarType val="both"/>
            <c:errValType val="cust"/>
            <c:plus>
              <c:numRef>
                <c:f>Sheet1!$L$45:$L$48</c:f>
                <c:numCache>
                  <c:formatCode>General</c:formatCode>
                  <c:ptCount val="4"/>
                  <c:pt idx="0">
                    <c:v>3.2000000000000042E-2</c:v>
                  </c:pt>
                  <c:pt idx="1">
                    <c:v>2.9000000000000001E-2</c:v>
                  </c:pt>
                  <c:pt idx="2">
                    <c:v>1.6000000000000021E-2</c:v>
                  </c:pt>
                  <c:pt idx="3">
                    <c:v>2.9000000000000001E-2</c:v>
                  </c:pt>
                </c:numCache>
              </c:numRef>
            </c:plus>
            <c:minus>
              <c:numRef>
                <c:f>Sheet1!$L$45:$L$48</c:f>
                <c:numCache>
                  <c:formatCode>General</c:formatCode>
                  <c:ptCount val="4"/>
                  <c:pt idx="0">
                    <c:v>3.2000000000000042E-2</c:v>
                  </c:pt>
                  <c:pt idx="1">
                    <c:v>2.9000000000000001E-2</c:v>
                  </c:pt>
                  <c:pt idx="2">
                    <c:v>1.6000000000000021E-2</c:v>
                  </c:pt>
                  <c:pt idx="3">
                    <c:v>2.9000000000000001E-2</c:v>
                  </c:pt>
                </c:numCache>
              </c:numRef>
            </c:minus>
          </c:errBars>
          <c:cat>
            <c:strRef>
              <c:f>Sheet2!$A$115:$A$118</c:f>
              <c:strCache>
                <c:ptCount val="4"/>
                <c:pt idx="0">
                  <c:v>7 j</c:v>
                </c:pt>
                <c:pt idx="1">
                  <c:v>14 j</c:v>
                </c:pt>
                <c:pt idx="2">
                  <c:v>21 j</c:v>
                </c:pt>
                <c:pt idx="3">
                  <c:v>28 j</c:v>
                </c:pt>
              </c:strCache>
            </c:strRef>
          </c:cat>
          <c:val>
            <c:numRef>
              <c:f>Sheet2!$E$115:$E$118</c:f>
              <c:numCache>
                <c:formatCode>General</c:formatCode>
                <c:ptCount val="4"/>
                <c:pt idx="0">
                  <c:v>8.23</c:v>
                </c:pt>
                <c:pt idx="1">
                  <c:v>7.81</c:v>
                </c:pt>
                <c:pt idx="2">
                  <c:v>7.4</c:v>
                </c:pt>
                <c:pt idx="3">
                  <c:v>6.9300000000000024</c:v>
                </c:pt>
              </c:numCache>
            </c:numRef>
          </c:val>
        </c:ser>
        <c:ser>
          <c:idx val="4"/>
          <c:order val="4"/>
          <c:tx>
            <c:strRef>
              <c:f>Sheet2!$F$114</c:f>
              <c:strCache>
                <c:ptCount val="1"/>
                <c:pt idx="0">
                  <c:v>5 (H. Proteine)</c:v>
                </c:pt>
              </c:strCache>
            </c:strRef>
          </c:tx>
          <c:spPr>
            <a:solidFill>
              <a:srgbClr val="FF33CC"/>
            </a:solidFill>
            <a:ln>
              <a:solidFill>
                <a:srgbClr val="FF33CC"/>
              </a:solidFill>
            </a:ln>
          </c:spPr>
          <c:errBars>
            <c:errBarType val="both"/>
            <c:errValType val="cust"/>
            <c:plus>
              <c:numRef>
                <c:f>Sheet1!$M$45:$M$48</c:f>
                <c:numCache>
                  <c:formatCode>General</c:formatCode>
                  <c:ptCount val="4"/>
                  <c:pt idx="0">
                    <c:v>3.2000000000000042E-2</c:v>
                  </c:pt>
                  <c:pt idx="1">
                    <c:v>3.500000000000001E-2</c:v>
                  </c:pt>
                  <c:pt idx="2">
                    <c:v>5.3000000000000012E-2</c:v>
                  </c:pt>
                  <c:pt idx="3">
                    <c:v>5.1000000000000004E-2</c:v>
                  </c:pt>
                </c:numCache>
              </c:numRef>
            </c:plus>
            <c:minus>
              <c:numRef>
                <c:f>Sheet1!$M$45:$M$48</c:f>
                <c:numCache>
                  <c:formatCode>General</c:formatCode>
                  <c:ptCount val="4"/>
                  <c:pt idx="0">
                    <c:v>3.2000000000000042E-2</c:v>
                  </c:pt>
                  <c:pt idx="1">
                    <c:v>3.500000000000001E-2</c:v>
                  </c:pt>
                  <c:pt idx="2">
                    <c:v>5.3000000000000012E-2</c:v>
                  </c:pt>
                  <c:pt idx="3">
                    <c:v>5.1000000000000004E-2</c:v>
                  </c:pt>
                </c:numCache>
              </c:numRef>
            </c:minus>
          </c:errBars>
          <c:cat>
            <c:strRef>
              <c:f>Sheet2!$A$115:$A$118</c:f>
              <c:strCache>
                <c:ptCount val="4"/>
                <c:pt idx="0">
                  <c:v>7 j</c:v>
                </c:pt>
                <c:pt idx="1">
                  <c:v>14 j</c:v>
                </c:pt>
                <c:pt idx="2">
                  <c:v>21 j</c:v>
                </c:pt>
                <c:pt idx="3">
                  <c:v>28 j</c:v>
                </c:pt>
              </c:strCache>
            </c:strRef>
          </c:cat>
          <c:val>
            <c:numRef>
              <c:f>Sheet2!$F$115:$F$118</c:f>
              <c:numCache>
                <c:formatCode>General</c:formatCode>
                <c:ptCount val="4"/>
                <c:pt idx="0">
                  <c:v>8.91</c:v>
                </c:pt>
                <c:pt idx="1">
                  <c:v>8.48</c:v>
                </c:pt>
                <c:pt idx="2">
                  <c:v>8.1300000000000008</c:v>
                </c:pt>
                <c:pt idx="3">
                  <c:v>7.54</c:v>
                </c:pt>
              </c:numCache>
            </c:numRef>
          </c:val>
        </c:ser>
        <c:axId val="54069120"/>
        <c:axId val="54087680"/>
      </c:barChart>
      <c:catAx>
        <c:axId val="54069120"/>
        <c:scaling>
          <c:orientation val="minMax"/>
        </c:scaling>
        <c:axPos val="b"/>
        <c:title>
          <c:tx>
            <c:rich>
              <a:bodyPr/>
              <a:lstStyle/>
              <a:p>
                <a:pPr>
                  <a:defRPr/>
                </a:pPr>
                <a:r>
                  <a:rPr lang="en-US">
                    <a:latin typeface="Times New Roman" pitchFamily="18" charset="0"/>
                    <a:cs typeface="Times New Roman" pitchFamily="18" charset="0"/>
                  </a:rPr>
                  <a:t>Entreposage à +4°C en jours</a:t>
                </a:r>
              </a:p>
            </c:rich>
          </c:tx>
          <c:layout>
            <c:manualLayout>
              <c:xMode val="edge"/>
              <c:yMode val="edge"/>
              <c:x val="0.28758319443646185"/>
              <c:y val="0.91825247650495301"/>
            </c:manualLayout>
          </c:layout>
        </c:title>
        <c:numFmt formatCode="General" sourceLinked="1"/>
        <c:tickLblPos val="nextTo"/>
        <c:spPr>
          <a:ln>
            <a:solidFill>
              <a:sysClr val="windowText" lastClr="000000"/>
            </a:solidFill>
          </a:ln>
        </c:spPr>
        <c:txPr>
          <a:bodyPr/>
          <a:lstStyle/>
          <a:p>
            <a:pPr>
              <a:defRPr b="1"/>
            </a:pPr>
            <a:endParaRPr lang="fr-FR"/>
          </a:p>
        </c:txPr>
        <c:crossAx val="54087680"/>
        <c:crosses val="autoZero"/>
        <c:auto val="1"/>
        <c:lblAlgn val="ctr"/>
        <c:lblOffset val="100"/>
      </c:catAx>
      <c:valAx>
        <c:axId val="54087680"/>
        <c:scaling>
          <c:orientation val="minMax"/>
          <c:max val="9.5"/>
          <c:min val="5.5"/>
        </c:scaling>
        <c:axPos val="l"/>
        <c:title>
          <c:tx>
            <c:rich>
              <a:bodyPr rot="-5400000" vert="horz"/>
              <a:lstStyle/>
              <a:p>
                <a:pPr>
                  <a:defRPr/>
                </a:pPr>
                <a:r>
                  <a:rPr lang="en-US">
                    <a:latin typeface="Times New Roman" pitchFamily="18" charset="0"/>
                    <a:cs typeface="Times New Roman" pitchFamily="18" charset="0"/>
                  </a:rPr>
                  <a:t>log UFC/ml</a:t>
                </a:r>
              </a:p>
            </c:rich>
          </c:tx>
          <c:layout/>
        </c:title>
        <c:numFmt formatCode="General" sourceLinked="1"/>
        <c:tickLblPos val="nextTo"/>
        <c:spPr>
          <a:ln>
            <a:solidFill>
              <a:sysClr val="windowText" lastClr="000000"/>
            </a:solidFill>
          </a:ln>
        </c:spPr>
        <c:txPr>
          <a:bodyPr/>
          <a:lstStyle/>
          <a:p>
            <a:pPr>
              <a:defRPr b="1"/>
            </a:pPr>
            <a:endParaRPr lang="fr-FR"/>
          </a:p>
        </c:txPr>
        <c:crossAx val="54069120"/>
        <c:crosses val="autoZero"/>
        <c:crossBetween val="between"/>
        <c:majorUnit val="0.5"/>
      </c:valAx>
    </c:plotArea>
    <c:plotVisOnly val="1"/>
    <c:dispBlanksAs val="gap"/>
  </c:chart>
  <c:spPr>
    <a:ln>
      <a:solidFill>
        <a:schemeClr val="bg1"/>
      </a:solidFill>
    </a:ln>
  </c:spPr>
  <c:externalData r:id="rId1"/>
  <c:userShapes r:id="rId2"/>
</c:chartSpace>
</file>

<file path=word/charts/chart57.xml><?xml version="1.0" encoding="utf-8"?>
<c:chartSpace xmlns:c="http://schemas.openxmlformats.org/drawingml/2006/chart" xmlns:a="http://schemas.openxmlformats.org/drawingml/2006/main" xmlns:r="http://schemas.openxmlformats.org/officeDocument/2006/relationships">
  <c:date1904 val="1"/>
  <c:lang val="fr-FR"/>
  <c:style val="26"/>
  <c:chart>
    <c:title>
      <c:tx>
        <c:rich>
          <a:bodyPr/>
          <a:lstStyle/>
          <a:p>
            <a:pPr>
              <a:defRPr/>
            </a:pPr>
            <a:r>
              <a:rPr lang="fr-FR" b="0">
                <a:latin typeface="Times New Roman" pitchFamily="18" charset="0"/>
                <a:cs typeface="Times New Roman" pitchFamily="18" charset="0"/>
              </a:rPr>
              <a:t>A</a:t>
            </a:r>
          </a:p>
        </c:rich>
      </c:tx>
      <c:layout>
        <c:manualLayout>
          <c:xMode val="edge"/>
          <c:yMode val="edge"/>
          <c:x val="4.2733119898474324E-3"/>
          <c:y val="0"/>
        </c:manualLayout>
      </c:layout>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25093324872852307"/>
          <c:y val="0.10201605552444018"/>
          <c:w val="0.72207781719592912"/>
          <c:h val="0.68331213828396808"/>
        </c:manualLayout>
      </c:layout>
      <c:barChart>
        <c:barDir val="col"/>
        <c:grouping val="clustered"/>
        <c:ser>
          <c:idx val="0"/>
          <c:order val="0"/>
          <c:tx>
            <c:strRef>
              <c:f>Sheet2!$B$120</c:f>
              <c:strCache>
                <c:ptCount val="1"/>
                <c:pt idx="0">
                  <c:v>1 (Temoin)</c:v>
                </c:pt>
              </c:strCache>
            </c:strRef>
          </c:tx>
          <c:spPr>
            <a:solidFill>
              <a:srgbClr val="0070C0"/>
            </a:solidFill>
            <a:ln>
              <a:solidFill>
                <a:srgbClr val="0070C0"/>
              </a:solidFill>
            </a:ln>
          </c:spPr>
          <c:errBars>
            <c:errBarType val="both"/>
            <c:errValType val="cust"/>
            <c:plus>
              <c:numRef>
                <c:f>Sheet1!$I$45:$M$45</c:f>
                <c:numCache>
                  <c:formatCode>General</c:formatCode>
                  <c:ptCount val="5"/>
                  <c:pt idx="0">
                    <c:v>3.7999999999999999E-2</c:v>
                  </c:pt>
                  <c:pt idx="1">
                    <c:v>2.1999999999999999E-2</c:v>
                  </c:pt>
                  <c:pt idx="2">
                    <c:v>2.9000000000000001E-2</c:v>
                  </c:pt>
                  <c:pt idx="3">
                    <c:v>3.2000000000000042E-2</c:v>
                  </c:pt>
                  <c:pt idx="4">
                    <c:v>2.9000000000000001E-2</c:v>
                  </c:pt>
                </c:numCache>
              </c:numRef>
            </c:plus>
            <c:minus>
              <c:numRef>
                <c:f>Sheet1!$I$45:$M$45</c:f>
                <c:numCache>
                  <c:formatCode>General</c:formatCode>
                  <c:ptCount val="5"/>
                  <c:pt idx="0">
                    <c:v>3.7999999999999999E-2</c:v>
                  </c:pt>
                  <c:pt idx="1">
                    <c:v>2.1999999999999999E-2</c:v>
                  </c:pt>
                  <c:pt idx="2">
                    <c:v>2.9000000000000001E-2</c:v>
                  </c:pt>
                  <c:pt idx="3">
                    <c:v>3.2000000000000042E-2</c:v>
                  </c:pt>
                  <c:pt idx="4">
                    <c:v>2.9000000000000001E-2</c:v>
                  </c:pt>
                </c:numCache>
              </c:numRef>
            </c:minus>
          </c:errBars>
          <c:cat>
            <c:strRef>
              <c:f>Sheet2!$A$121:$A$124</c:f>
              <c:strCache>
                <c:ptCount val="4"/>
                <c:pt idx="0">
                  <c:v>7 j</c:v>
                </c:pt>
                <c:pt idx="1">
                  <c:v>14 j</c:v>
                </c:pt>
                <c:pt idx="2">
                  <c:v>21 j</c:v>
                </c:pt>
                <c:pt idx="3">
                  <c:v>28 j</c:v>
                </c:pt>
              </c:strCache>
            </c:strRef>
          </c:cat>
          <c:val>
            <c:numRef>
              <c:f>Sheet2!$B$121:$B$124</c:f>
              <c:numCache>
                <c:formatCode>General</c:formatCode>
                <c:ptCount val="4"/>
                <c:pt idx="0">
                  <c:v>6.54</c:v>
                </c:pt>
                <c:pt idx="1">
                  <c:v>6.26</c:v>
                </c:pt>
                <c:pt idx="2">
                  <c:v>5.91</c:v>
                </c:pt>
                <c:pt idx="3">
                  <c:v>5.6</c:v>
                </c:pt>
              </c:numCache>
            </c:numRef>
          </c:val>
        </c:ser>
        <c:ser>
          <c:idx val="1"/>
          <c:order val="1"/>
          <c:tx>
            <c:strRef>
              <c:f>Sheet2!$C$120</c:f>
              <c:strCache>
                <c:ptCount val="1"/>
                <c:pt idx="0">
                  <c:v>2 (Lactoserum)</c:v>
                </c:pt>
              </c:strCache>
            </c:strRef>
          </c:tx>
          <c:spPr>
            <a:solidFill>
              <a:srgbClr val="FF9900"/>
            </a:solidFill>
            <a:ln>
              <a:solidFill>
                <a:srgbClr val="FF9900"/>
              </a:solidFill>
            </a:ln>
          </c:spPr>
          <c:errBars>
            <c:errBarType val="both"/>
            <c:errValType val="cust"/>
            <c:plus>
              <c:numRef>
                <c:f>Sheet1!$I$46:$M$46</c:f>
                <c:numCache>
                  <c:formatCode>General</c:formatCode>
                  <c:ptCount val="5"/>
                  <c:pt idx="0">
                    <c:v>2.1999999999999999E-2</c:v>
                  </c:pt>
                  <c:pt idx="1">
                    <c:v>3.9000000000000014E-2</c:v>
                  </c:pt>
                  <c:pt idx="2">
                    <c:v>3.5999999999999997E-2</c:v>
                  </c:pt>
                  <c:pt idx="3">
                    <c:v>2.5999999999999999E-2</c:v>
                  </c:pt>
                  <c:pt idx="4">
                    <c:v>3.0000000000000002E-2</c:v>
                  </c:pt>
                </c:numCache>
              </c:numRef>
            </c:plus>
            <c:minus>
              <c:numRef>
                <c:f>Sheet1!$I$46:$M$46</c:f>
                <c:numCache>
                  <c:formatCode>General</c:formatCode>
                  <c:ptCount val="5"/>
                  <c:pt idx="0">
                    <c:v>2.1999999999999999E-2</c:v>
                  </c:pt>
                  <c:pt idx="1">
                    <c:v>3.9000000000000014E-2</c:v>
                  </c:pt>
                  <c:pt idx="2">
                    <c:v>3.5999999999999997E-2</c:v>
                  </c:pt>
                  <c:pt idx="3">
                    <c:v>2.5999999999999999E-2</c:v>
                  </c:pt>
                  <c:pt idx="4">
                    <c:v>3.0000000000000002E-2</c:v>
                  </c:pt>
                </c:numCache>
              </c:numRef>
            </c:minus>
          </c:errBars>
          <c:cat>
            <c:strRef>
              <c:f>Sheet2!$A$121:$A$124</c:f>
              <c:strCache>
                <c:ptCount val="4"/>
                <c:pt idx="0">
                  <c:v>7 j</c:v>
                </c:pt>
                <c:pt idx="1">
                  <c:v>14 j</c:v>
                </c:pt>
                <c:pt idx="2">
                  <c:v>21 j</c:v>
                </c:pt>
                <c:pt idx="3">
                  <c:v>28 j</c:v>
                </c:pt>
              </c:strCache>
            </c:strRef>
          </c:cat>
          <c:val>
            <c:numRef>
              <c:f>Sheet2!$C$121:$C$124</c:f>
              <c:numCache>
                <c:formatCode>General</c:formatCode>
                <c:ptCount val="4"/>
                <c:pt idx="0">
                  <c:v>9.34</c:v>
                </c:pt>
                <c:pt idx="1">
                  <c:v>8.9</c:v>
                </c:pt>
                <c:pt idx="2">
                  <c:v>8.49</c:v>
                </c:pt>
                <c:pt idx="3">
                  <c:v>8</c:v>
                </c:pt>
              </c:numCache>
            </c:numRef>
          </c:val>
        </c:ser>
        <c:ser>
          <c:idx val="2"/>
          <c:order val="2"/>
          <c:tx>
            <c:strRef>
              <c:f>Sheet2!$D$120</c:f>
              <c:strCache>
                <c:ptCount val="1"/>
                <c:pt idx="0">
                  <c:v>3 (Promilk)</c:v>
                </c:pt>
              </c:strCache>
            </c:strRef>
          </c:tx>
          <c:spPr>
            <a:solidFill>
              <a:srgbClr val="92D050"/>
            </a:solidFill>
            <a:ln>
              <a:solidFill>
                <a:srgbClr val="92D050"/>
              </a:solidFill>
            </a:ln>
          </c:spPr>
          <c:errBars>
            <c:errBarType val="both"/>
            <c:errValType val="cust"/>
            <c:plus>
              <c:numRef>
                <c:f>Sheet1!$I$47:$M$47</c:f>
                <c:numCache>
                  <c:formatCode>General</c:formatCode>
                  <c:ptCount val="5"/>
                  <c:pt idx="0">
                    <c:v>2.4E-2</c:v>
                  </c:pt>
                  <c:pt idx="1">
                    <c:v>3.6999999999999998E-2</c:v>
                  </c:pt>
                  <c:pt idx="2">
                    <c:v>2.7000000000000138E-2</c:v>
                  </c:pt>
                  <c:pt idx="3">
                    <c:v>2.1000000000000012E-2</c:v>
                  </c:pt>
                  <c:pt idx="4">
                    <c:v>3.9000000000000014E-2</c:v>
                  </c:pt>
                </c:numCache>
              </c:numRef>
            </c:plus>
            <c:minus>
              <c:numRef>
                <c:f>Sheet1!$I$47:$M$47</c:f>
                <c:numCache>
                  <c:formatCode>General</c:formatCode>
                  <c:ptCount val="5"/>
                  <c:pt idx="0">
                    <c:v>2.4E-2</c:v>
                  </c:pt>
                  <c:pt idx="1">
                    <c:v>3.6999999999999998E-2</c:v>
                  </c:pt>
                  <c:pt idx="2">
                    <c:v>2.7000000000000138E-2</c:v>
                  </c:pt>
                  <c:pt idx="3">
                    <c:v>2.1000000000000012E-2</c:v>
                  </c:pt>
                  <c:pt idx="4">
                    <c:v>3.9000000000000014E-2</c:v>
                  </c:pt>
                </c:numCache>
              </c:numRef>
            </c:minus>
          </c:errBars>
          <c:cat>
            <c:strRef>
              <c:f>Sheet2!$A$121:$A$124</c:f>
              <c:strCache>
                <c:ptCount val="4"/>
                <c:pt idx="0">
                  <c:v>7 j</c:v>
                </c:pt>
                <c:pt idx="1">
                  <c:v>14 j</c:v>
                </c:pt>
                <c:pt idx="2">
                  <c:v>21 j</c:v>
                </c:pt>
                <c:pt idx="3">
                  <c:v>28 j</c:v>
                </c:pt>
              </c:strCache>
            </c:strRef>
          </c:cat>
          <c:val>
            <c:numRef>
              <c:f>Sheet2!$D$121:$D$124</c:f>
              <c:numCache>
                <c:formatCode>General</c:formatCode>
                <c:ptCount val="4"/>
                <c:pt idx="0">
                  <c:v>7.87</c:v>
                </c:pt>
                <c:pt idx="1">
                  <c:v>7.51</c:v>
                </c:pt>
                <c:pt idx="2">
                  <c:v>7.1099999999999985</c:v>
                </c:pt>
                <c:pt idx="3">
                  <c:v>6.91</c:v>
                </c:pt>
              </c:numCache>
            </c:numRef>
          </c:val>
        </c:ser>
        <c:ser>
          <c:idx val="3"/>
          <c:order val="3"/>
          <c:tx>
            <c:strRef>
              <c:f>Sheet2!$E$120</c:f>
              <c:strCache>
                <c:ptCount val="1"/>
                <c:pt idx="0">
                  <c:v>4 (H. Caseine)</c:v>
                </c:pt>
              </c:strCache>
            </c:strRef>
          </c:tx>
          <c:spPr>
            <a:solidFill>
              <a:srgbClr val="990099"/>
            </a:solidFill>
            <a:ln>
              <a:solidFill>
                <a:srgbClr val="990099"/>
              </a:solidFill>
            </a:ln>
          </c:spPr>
          <c:errBars>
            <c:errBarType val="both"/>
            <c:errValType val="cust"/>
            <c:plus>
              <c:numRef>
                <c:f>Sheet1!$I$48:$M$48</c:f>
                <c:numCache>
                  <c:formatCode>General</c:formatCode>
                  <c:ptCount val="5"/>
                  <c:pt idx="0">
                    <c:v>3.500000000000001E-2</c:v>
                  </c:pt>
                  <c:pt idx="1">
                    <c:v>3.9000000000000014E-2</c:v>
                  </c:pt>
                  <c:pt idx="2">
                    <c:v>2.5999999999999999E-2</c:v>
                  </c:pt>
                  <c:pt idx="3">
                    <c:v>2.1000000000000012E-2</c:v>
                  </c:pt>
                  <c:pt idx="4">
                    <c:v>2.5000000000000001E-2</c:v>
                  </c:pt>
                </c:numCache>
              </c:numRef>
            </c:plus>
            <c:minus>
              <c:numRef>
                <c:f>Sheet1!$I$48:$M$48</c:f>
                <c:numCache>
                  <c:formatCode>General</c:formatCode>
                  <c:ptCount val="5"/>
                  <c:pt idx="0">
                    <c:v>3.500000000000001E-2</c:v>
                  </c:pt>
                  <c:pt idx="1">
                    <c:v>3.9000000000000014E-2</c:v>
                  </c:pt>
                  <c:pt idx="2">
                    <c:v>2.5999999999999999E-2</c:v>
                  </c:pt>
                  <c:pt idx="3">
                    <c:v>2.1000000000000012E-2</c:v>
                  </c:pt>
                  <c:pt idx="4">
                    <c:v>2.5000000000000001E-2</c:v>
                  </c:pt>
                </c:numCache>
              </c:numRef>
            </c:minus>
          </c:errBars>
          <c:cat>
            <c:strRef>
              <c:f>Sheet2!$A$121:$A$124</c:f>
              <c:strCache>
                <c:ptCount val="4"/>
                <c:pt idx="0">
                  <c:v>7 j</c:v>
                </c:pt>
                <c:pt idx="1">
                  <c:v>14 j</c:v>
                </c:pt>
                <c:pt idx="2">
                  <c:v>21 j</c:v>
                </c:pt>
                <c:pt idx="3">
                  <c:v>28 j</c:v>
                </c:pt>
              </c:strCache>
            </c:strRef>
          </c:cat>
          <c:val>
            <c:numRef>
              <c:f>Sheet2!$E$121:$E$124</c:f>
              <c:numCache>
                <c:formatCode>General</c:formatCode>
                <c:ptCount val="4"/>
                <c:pt idx="0">
                  <c:v>8.5500000000000007</c:v>
                </c:pt>
                <c:pt idx="1">
                  <c:v>8.19</c:v>
                </c:pt>
                <c:pt idx="2">
                  <c:v>7.9</c:v>
                </c:pt>
                <c:pt idx="3">
                  <c:v>7.53</c:v>
                </c:pt>
              </c:numCache>
            </c:numRef>
          </c:val>
        </c:ser>
        <c:ser>
          <c:idx val="4"/>
          <c:order val="4"/>
          <c:tx>
            <c:strRef>
              <c:f>Sheet2!$F$120</c:f>
              <c:strCache>
                <c:ptCount val="1"/>
                <c:pt idx="0">
                  <c:v>5 (H. Proteine)</c:v>
                </c:pt>
              </c:strCache>
            </c:strRef>
          </c:tx>
          <c:spPr>
            <a:solidFill>
              <a:srgbClr val="FF33CC"/>
            </a:solidFill>
            <a:ln>
              <a:solidFill>
                <a:srgbClr val="FF33CC"/>
              </a:solidFill>
            </a:ln>
          </c:spPr>
          <c:errBars>
            <c:errBarType val="both"/>
            <c:errValType val="cust"/>
            <c:plus>
              <c:numRef>
                <c:f>Sheet2!$M$121:$M$124</c:f>
                <c:numCache>
                  <c:formatCode>General</c:formatCode>
                  <c:ptCount val="4"/>
                  <c:pt idx="0">
                    <c:v>2.9000000000000001E-2</c:v>
                  </c:pt>
                  <c:pt idx="1">
                    <c:v>3.0000000000000002E-2</c:v>
                  </c:pt>
                  <c:pt idx="2">
                    <c:v>3.9000000000000014E-2</c:v>
                  </c:pt>
                  <c:pt idx="3">
                    <c:v>2.5000000000000001E-2</c:v>
                  </c:pt>
                </c:numCache>
              </c:numRef>
            </c:plus>
            <c:minus>
              <c:numRef>
                <c:f>Sheet2!$M$121:$M$124</c:f>
                <c:numCache>
                  <c:formatCode>General</c:formatCode>
                  <c:ptCount val="4"/>
                  <c:pt idx="0">
                    <c:v>2.9000000000000001E-2</c:v>
                  </c:pt>
                  <c:pt idx="1">
                    <c:v>3.0000000000000002E-2</c:v>
                  </c:pt>
                  <c:pt idx="2">
                    <c:v>3.9000000000000014E-2</c:v>
                  </c:pt>
                  <c:pt idx="3">
                    <c:v>2.5000000000000001E-2</c:v>
                  </c:pt>
                </c:numCache>
              </c:numRef>
            </c:minus>
          </c:errBars>
          <c:cat>
            <c:strRef>
              <c:f>Sheet2!$A$121:$A$124</c:f>
              <c:strCache>
                <c:ptCount val="4"/>
                <c:pt idx="0">
                  <c:v>7 j</c:v>
                </c:pt>
                <c:pt idx="1">
                  <c:v>14 j</c:v>
                </c:pt>
                <c:pt idx="2">
                  <c:v>21 j</c:v>
                </c:pt>
                <c:pt idx="3">
                  <c:v>28 j</c:v>
                </c:pt>
              </c:strCache>
            </c:strRef>
          </c:cat>
          <c:val>
            <c:numRef>
              <c:f>Sheet2!$F$121:$F$124</c:f>
              <c:numCache>
                <c:formatCode>General</c:formatCode>
                <c:ptCount val="4"/>
                <c:pt idx="0">
                  <c:v>8.9</c:v>
                </c:pt>
                <c:pt idx="1">
                  <c:v>8.620000000000001</c:v>
                </c:pt>
                <c:pt idx="2">
                  <c:v>8.08</c:v>
                </c:pt>
                <c:pt idx="3">
                  <c:v>7.85</c:v>
                </c:pt>
              </c:numCache>
            </c:numRef>
          </c:val>
        </c:ser>
        <c:axId val="58200832"/>
        <c:axId val="58202752"/>
      </c:barChart>
      <c:catAx>
        <c:axId val="58200832"/>
        <c:scaling>
          <c:orientation val="minMax"/>
        </c:scaling>
        <c:axPos val="b"/>
        <c:title>
          <c:tx>
            <c:rich>
              <a:bodyPr/>
              <a:lstStyle/>
              <a:p>
                <a:pPr>
                  <a:defRPr/>
                </a:pPr>
                <a:r>
                  <a:rPr lang="fr-FR">
                    <a:latin typeface="Times New Roman" pitchFamily="18" charset="0"/>
                    <a:cs typeface="Times New Roman" pitchFamily="18" charset="0"/>
                  </a:rPr>
                  <a:t>Entreposage à +4°C en jours</a:t>
                </a:r>
              </a:p>
            </c:rich>
          </c:tx>
          <c:layout>
            <c:manualLayout>
              <c:xMode val="edge"/>
              <c:yMode val="edge"/>
              <c:x val="0.26680480729382816"/>
              <c:y val="0.93206546856061601"/>
            </c:manualLayout>
          </c:layout>
        </c:title>
        <c:numFmt formatCode="General" sourceLinked="1"/>
        <c:tickLblPos val="nextTo"/>
        <c:spPr>
          <a:ln>
            <a:solidFill>
              <a:sysClr val="windowText" lastClr="000000"/>
            </a:solidFill>
          </a:ln>
        </c:spPr>
        <c:txPr>
          <a:bodyPr rot="0" vert="horz"/>
          <a:lstStyle/>
          <a:p>
            <a:pPr>
              <a:defRPr b="1"/>
            </a:pPr>
            <a:endParaRPr lang="fr-FR"/>
          </a:p>
        </c:txPr>
        <c:crossAx val="58202752"/>
        <c:crosses val="autoZero"/>
        <c:auto val="1"/>
        <c:lblAlgn val="ctr"/>
        <c:lblOffset val="100"/>
      </c:catAx>
      <c:valAx>
        <c:axId val="58202752"/>
        <c:scaling>
          <c:orientation val="minMax"/>
          <c:max val="10"/>
          <c:min val="5"/>
        </c:scaling>
        <c:axPos val="l"/>
        <c:title>
          <c:tx>
            <c:rich>
              <a:bodyPr/>
              <a:lstStyle/>
              <a:p>
                <a:pPr>
                  <a:defRPr/>
                </a:pPr>
                <a:r>
                  <a:rPr lang="fr-FR">
                    <a:latin typeface="Times New Roman" pitchFamily="18" charset="0"/>
                    <a:cs typeface="Times New Roman" pitchFamily="18" charset="0"/>
                  </a:rPr>
                  <a:t>log UFC/ml</a:t>
                </a:r>
              </a:p>
            </c:rich>
          </c:tx>
          <c:layout/>
        </c:title>
        <c:numFmt formatCode="General" sourceLinked="1"/>
        <c:tickLblPos val="nextTo"/>
        <c:spPr>
          <a:ln>
            <a:solidFill>
              <a:sysClr val="windowText" lastClr="000000"/>
            </a:solidFill>
          </a:ln>
        </c:spPr>
        <c:txPr>
          <a:bodyPr rot="0" vert="horz"/>
          <a:lstStyle/>
          <a:p>
            <a:pPr>
              <a:defRPr b="1"/>
            </a:pPr>
            <a:endParaRPr lang="fr-FR"/>
          </a:p>
        </c:txPr>
        <c:crossAx val="58200832"/>
        <c:crosses val="autoZero"/>
        <c:crossBetween val="between"/>
        <c:majorUnit val="0.5"/>
      </c:valAx>
    </c:plotArea>
    <c:plotVisOnly val="1"/>
    <c:dispBlanksAs val="gap"/>
  </c:chart>
  <c:spPr>
    <a:ln>
      <a:solidFill>
        <a:schemeClr val="bg1"/>
      </a:solidFill>
    </a:ln>
  </c:spPr>
  <c:externalData r:id="rId1"/>
  <c:userShapes r:id="rId2"/>
</c:chartSpace>
</file>

<file path=word/charts/chart58.xml><?xml version="1.0" encoding="utf-8"?>
<c:chartSpace xmlns:c="http://schemas.openxmlformats.org/drawingml/2006/chart" xmlns:a="http://schemas.openxmlformats.org/drawingml/2006/main" xmlns:r="http://schemas.openxmlformats.org/officeDocument/2006/relationships">
  <c:date1904 val="1"/>
  <c:lang val="fr-FR"/>
  <c:style val="26"/>
  <c:chart>
    <c:title>
      <c:tx>
        <c:rich>
          <a:bodyPr/>
          <a:lstStyle/>
          <a:p>
            <a:pPr>
              <a:defRPr/>
            </a:pPr>
            <a:r>
              <a:rPr lang="fr-FR" b="0">
                <a:latin typeface="Times New Roman" pitchFamily="18" charset="0"/>
                <a:cs typeface="Times New Roman" pitchFamily="18" charset="0"/>
              </a:rPr>
              <a:t>E</a:t>
            </a:r>
          </a:p>
        </c:rich>
      </c:tx>
      <c:layout>
        <c:manualLayout>
          <c:xMode val="edge"/>
          <c:yMode val="edge"/>
          <c:x val="6.6656373835626828E-4"/>
          <c:y val="0"/>
        </c:manualLayout>
      </c:layout>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23723116699964739"/>
          <c:y val="0.13037863937893837"/>
          <c:w val="0.74161909448819152"/>
          <c:h val="0.66656079382482269"/>
        </c:manualLayout>
      </c:layout>
      <c:barChart>
        <c:barDir val="col"/>
        <c:grouping val="clustered"/>
        <c:ser>
          <c:idx val="0"/>
          <c:order val="0"/>
          <c:tx>
            <c:strRef>
              <c:f>Feuil1!$B$110</c:f>
              <c:strCache>
                <c:ptCount val="1"/>
                <c:pt idx="0">
                  <c:v>1 (Temoin)</c:v>
                </c:pt>
              </c:strCache>
            </c:strRef>
          </c:tx>
          <c:spPr>
            <a:solidFill>
              <a:srgbClr val="0070C0"/>
            </a:solidFill>
            <a:ln>
              <a:solidFill>
                <a:srgbClr val="0070C0"/>
              </a:solidFill>
            </a:ln>
          </c:spPr>
          <c:errBars>
            <c:errBarType val="both"/>
            <c:errValType val="cust"/>
            <c:plus>
              <c:numRef>
                <c:f>Sheet1!$I$45:$M$45</c:f>
                <c:numCache>
                  <c:formatCode>General</c:formatCode>
                  <c:ptCount val="5"/>
                  <c:pt idx="0">
                    <c:v>3.6999999999999998E-2</c:v>
                  </c:pt>
                  <c:pt idx="1">
                    <c:v>4.2000000000000023E-2</c:v>
                  </c:pt>
                  <c:pt idx="2">
                    <c:v>5.8000000000000003E-2</c:v>
                  </c:pt>
                  <c:pt idx="3">
                    <c:v>5.3999999999999999E-2</c:v>
                  </c:pt>
                  <c:pt idx="4">
                    <c:v>7.3999999999999996E-2</c:v>
                  </c:pt>
                </c:numCache>
              </c:numRef>
            </c:plus>
            <c:minus>
              <c:numRef>
                <c:f>Sheet1!$I$45:$M$45</c:f>
                <c:numCache>
                  <c:formatCode>General</c:formatCode>
                  <c:ptCount val="5"/>
                  <c:pt idx="0">
                    <c:v>3.6999999999999998E-2</c:v>
                  </c:pt>
                  <c:pt idx="1">
                    <c:v>4.2000000000000023E-2</c:v>
                  </c:pt>
                  <c:pt idx="2">
                    <c:v>5.8000000000000003E-2</c:v>
                  </c:pt>
                  <c:pt idx="3">
                    <c:v>5.3999999999999999E-2</c:v>
                  </c:pt>
                  <c:pt idx="4">
                    <c:v>7.3999999999999996E-2</c:v>
                  </c:pt>
                </c:numCache>
              </c:numRef>
            </c:minus>
          </c:errBars>
          <c:cat>
            <c:strRef>
              <c:f>Feuil1!$A$111:$A$114</c:f>
              <c:strCache>
                <c:ptCount val="4"/>
                <c:pt idx="0">
                  <c:v>7 j</c:v>
                </c:pt>
                <c:pt idx="1">
                  <c:v>14 j</c:v>
                </c:pt>
                <c:pt idx="2">
                  <c:v>21 j</c:v>
                </c:pt>
                <c:pt idx="3">
                  <c:v>28 j</c:v>
                </c:pt>
              </c:strCache>
            </c:strRef>
          </c:cat>
          <c:val>
            <c:numRef>
              <c:f>Feuil1!$B$111:$B$114</c:f>
              <c:numCache>
                <c:formatCode>General</c:formatCode>
                <c:ptCount val="4"/>
                <c:pt idx="0">
                  <c:v>6.76</c:v>
                </c:pt>
                <c:pt idx="1">
                  <c:v>6.41</c:v>
                </c:pt>
                <c:pt idx="2">
                  <c:v>5.95</c:v>
                </c:pt>
                <c:pt idx="3">
                  <c:v>5.73</c:v>
                </c:pt>
              </c:numCache>
            </c:numRef>
          </c:val>
        </c:ser>
        <c:ser>
          <c:idx val="1"/>
          <c:order val="1"/>
          <c:tx>
            <c:strRef>
              <c:f>Feuil1!$C$110</c:f>
              <c:strCache>
                <c:ptCount val="1"/>
                <c:pt idx="0">
                  <c:v>2 (Lactoserum)</c:v>
                </c:pt>
              </c:strCache>
            </c:strRef>
          </c:tx>
          <c:spPr>
            <a:solidFill>
              <a:srgbClr val="FF9900"/>
            </a:solidFill>
            <a:ln>
              <a:solidFill>
                <a:srgbClr val="FF9900"/>
              </a:solidFill>
            </a:ln>
          </c:spPr>
          <c:errBars>
            <c:errBarType val="both"/>
            <c:errValType val="cust"/>
            <c:plus>
              <c:numRef>
                <c:f>Sheet1!$J$45:$J$48</c:f>
                <c:numCache>
                  <c:formatCode>General</c:formatCode>
                  <c:ptCount val="4"/>
                  <c:pt idx="0">
                    <c:v>4.2000000000000023E-2</c:v>
                  </c:pt>
                  <c:pt idx="1">
                    <c:v>2.8000000000000001E-2</c:v>
                  </c:pt>
                  <c:pt idx="2">
                    <c:v>3.2000000000000042E-2</c:v>
                  </c:pt>
                  <c:pt idx="3">
                    <c:v>2.8000000000000001E-2</c:v>
                  </c:pt>
                </c:numCache>
              </c:numRef>
            </c:plus>
            <c:minus>
              <c:numRef>
                <c:f>Sheet1!$J$45:$J$48</c:f>
                <c:numCache>
                  <c:formatCode>General</c:formatCode>
                  <c:ptCount val="4"/>
                  <c:pt idx="0">
                    <c:v>4.2000000000000023E-2</c:v>
                  </c:pt>
                  <c:pt idx="1">
                    <c:v>2.8000000000000001E-2</c:v>
                  </c:pt>
                  <c:pt idx="2">
                    <c:v>3.2000000000000042E-2</c:v>
                  </c:pt>
                  <c:pt idx="3">
                    <c:v>2.8000000000000001E-2</c:v>
                  </c:pt>
                </c:numCache>
              </c:numRef>
            </c:minus>
          </c:errBars>
          <c:cat>
            <c:strRef>
              <c:f>Feuil1!$A$111:$A$114</c:f>
              <c:strCache>
                <c:ptCount val="4"/>
                <c:pt idx="0">
                  <c:v>7 j</c:v>
                </c:pt>
                <c:pt idx="1">
                  <c:v>14 j</c:v>
                </c:pt>
                <c:pt idx="2">
                  <c:v>21 j</c:v>
                </c:pt>
                <c:pt idx="3">
                  <c:v>28 j</c:v>
                </c:pt>
              </c:strCache>
            </c:strRef>
          </c:cat>
          <c:val>
            <c:numRef>
              <c:f>Feuil1!$C$111:$C$114</c:f>
              <c:numCache>
                <c:formatCode>General</c:formatCode>
                <c:ptCount val="4"/>
                <c:pt idx="0">
                  <c:v>9.5500000000000007</c:v>
                </c:pt>
                <c:pt idx="1">
                  <c:v>9.2900000000000009</c:v>
                </c:pt>
                <c:pt idx="2">
                  <c:v>8.73</c:v>
                </c:pt>
                <c:pt idx="3">
                  <c:v>8.07</c:v>
                </c:pt>
              </c:numCache>
            </c:numRef>
          </c:val>
        </c:ser>
        <c:ser>
          <c:idx val="2"/>
          <c:order val="2"/>
          <c:tx>
            <c:strRef>
              <c:f>Feuil1!$D$110</c:f>
              <c:strCache>
                <c:ptCount val="1"/>
                <c:pt idx="0">
                  <c:v>3 (Promilk)</c:v>
                </c:pt>
              </c:strCache>
            </c:strRef>
          </c:tx>
          <c:spPr>
            <a:solidFill>
              <a:srgbClr val="92D050"/>
            </a:solidFill>
            <a:ln>
              <a:solidFill>
                <a:srgbClr val="92D050"/>
              </a:solidFill>
            </a:ln>
          </c:spPr>
          <c:errBars>
            <c:errBarType val="both"/>
            <c:errValType val="cust"/>
            <c:plus>
              <c:numRef>
                <c:f>Sheet1!$K$45:$K$48</c:f>
                <c:numCache>
                  <c:formatCode>General</c:formatCode>
                  <c:ptCount val="4"/>
                  <c:pt idx="0">
                    <c:v>5.8000000000000003E-2</c:v>
                  </c:pt>
                  <c:pt idx="1">
                    <c:v>3.7999999999999999E-2</c:v>
                  </c:pt>
                  <c:pt idx="2">
                    <c:v>4.1000000000000002E-2</c:v>
                  </c:pt>
                  <c:pt idx="3">
                    <c:v>4.9000000000000113E-2</c:v>
                  </c:pt>
                </c:numCache>
              </c:numRef>
            </c:plus>
            <c:minus>
              <c:numRef>
                <c:f>Sheet1!$K$45:$K$48</c:f>
                <c:numCache>
                  <c:formatCode>General</c:formatCode>
                  <c:ptCount val="4"/>
                  <c:pt idx="0">
                    <c:v>5.8000000000000003E-2</c:v>
                  </c:pt>
                  <c:pt idx="1">
                    <c:v>3.7999999999999999E-2</c:v>
                  </c:pt>
                  <c:pt idx="2">
                    <c:v>4.1000000000000002E-2</c:v>
                  </c:pt>
                  <c:pt idx="3">
                    <c:v>4.9000000000000113E-2</c:v>
                  </c:pt>
                </c:numCache>
              </c:numRef>
            </c:minus>
          </c:errBars>
          <c:cat>
            <c:strRef>
              <c:f>Feuil1!$A$111:$A$114</c:f>
              <c:strCache>
                <c:ptCount val="4"/>
                <c:pt idx="0">
                  <c:v>7 j</c:v>
                </c:pt>
                <c:pt idx="1">
                  <c:v>14 j</c:v>
                </c:pt>
                <c:pt idx="2">
                  <c:v>21 j</c:v>
                </c:pt>
                <c:pt idx="3">
                  <c:v>28 j</c:v>
                </c:pt>
              </c:strCache>
            </c:strRef>
          </c:cat>
          <c:val>
            <c:numRef>
              <c:f>Feuil1!$D$111:$D$114</c:f>
              <c:numCache>
                <c:formatCode>General</c:formatCode>
                <c:ptCount val="4"/>
                <c:pt idx="0">
                  <c:v>7.67</c:v>
                </c:pt>
                <c:pt idx="1">
                  <c:v>7.2700000000000014</c:v>
                </c:pt>
                <c:pt idx="2">
                  <c:v>6.8</c:v>
                </c:pt>
                <c:pt idx="3">
                  <c:v>6.55</c:v>
                </c:pt>
              </c:numCache>
            </c:numRef>
          </c:val>
        </c:ser>
        <c:ser>
          <c:idx val="3"/>
          <c:order val="3"/>
          <c:tx>
            <c:strRef>
              <c:f>Feuil1!$E$110</c:f>
              <c:strCache>
                <c:ptCount val="1"/>
                <c:pt idx="0">
                  <c:v>4 (H. Caseine)</c:v>
                </c:pt>
              </c:strCache>
            </c:strRef>
          </c:tx>
          <c:spPr>
            <a:solidFill>
              <a:srgbClr val="990099"/>
            </a:solidFill>
            <a:ln>
              <a:solidFill>
                <a:srgbClr val="990099"/>
              </a:solidFill>
            </a:ln>
          </c:spPr>
          <c:errBars>
            <c:errBarType val="both"/>
            <c:errValType val="cust"/>
            <c:plus>
              <c:numRef>
                <c:f>Sheet1!$L$45:$L$48</c:f>
                <c:numCache>
                  <c:formatCode>General</c:formatCode>
                  <c:ptCount val="4"/>
                  <c:pt idx="0">
                    <c:v>5.3999999999999999E-2</c:v>
                  </c:pt>
                  <c:pt idx="1">
                    <c:v>6.3E-2</c:v>
                  </c:pt>
                  <c:pt idx="2">
                    <c:v>8.0000000000000043E-2</c:v>
                  </c:pt>
                  <c:pt idx="3">
                    <c:v>7.0999999999999994E-2</c:v>
                  </c:pt>
                </c:numCache>
              </c:numRef>
            </c:plus>
            <c:minus>
              <c:numRef>
                <c:f>Sheet1!$L$45:$L$48</c:f>
                <c:numCache>
                  <c:formatCode>General</c:formatCode>
                  <c:ptCount val="4"/>
                  <c:pt idx="0">
                    <c:v>5.3999999999999999E-2</c:v>
                  </c:pt>
                  <c:pt idx="1">
                    <c:v>6.3E-2</c:v>
                  </c:pt>
                  <c:pt idx="2">
                    <c:v>8.0000000000000043E-2</c:v>
                  </c:pt>
                  <c:pt idx="3">
                    <c:v>7.0999999999999994E-2</c:v>
                  </c:pt>
                </c:numCache>
              </c:numRef>
            </c:minus>
          </c:errBars>
          <c:cat>
            <c:strRef>
              <c:f>Feuil1!$A$111:$A$114</c:f>
              <c:strCache>
                <c:ptCount val="4"/>
                <c:pt idx="0">
                  <c:v>7 j</c:v>
                </c:pt>
                <c:pt idx="1">
                  <c:v>14 j</c:v>
                </c:pt>
                <c:pt idx="2">
                  <c:v>21 j</c:v>
                </c:pt>
                <c:pt idx="3">
                  <c:v>28 j</c:v>
                </c:pt>
              </c:strCache>
            </c:strRef>
          </c:cat>
          <c:val>
            <c:numRef>
              <c:f>Feuil1!$E$111:$E$114</c:f>
              <c:numCache>
                <c:formatCode>General</c:formatCode>
                <c:ptCount val="4"/>
                <c:pt idx="0">
                  <c:v>8.51</c:v>
                </c:pt>
                <c:pt idx="1">
                  <c:v>8.1</c:v>
                </c:pt>
                <c:pt idx="2">
                  <c:v>7.75</c:v>
                </c:pt>
                <c:pt idx="3">
                  <c:v>7.49</c:v>
                </c:pt>
              </c:numCache>
            </c:numRef>
          </c:val>
        </c:ser>
        <c:ser>
          <c:idx val="4"/>
          <c:order val="4"/>
          <c:tx>
            <c:strRef>
              <c:f>Feuil1!$F$110</c:f>
              <c:strCache>
                <c:ptCount val="1"/>
                <c:pt idx="0">
                  <c:v>5 (H. Proteine)</c:v>
                </c:pt>
              </c:strCache>
            </c:strRef>
          </c:tx>
          <c:spPr>
            <a:solidFill>
              <a:srgbClr val="FF33CC"/>
            </a:solidFill>
            <a:ln>
              <a:solidFill>
                <a:srgbClr val="FF33CC"/>
              </a:solidFill>
            </a:ln>
          </c:spPr>
          <c:errBars>
            <c:errBarType val="both"/>
            <c:errValType val="cust"/>
            <c:plus>
              <c:numRef>
                <c:f>Sheet1!$M$45:$M$48</c:f>
                <c:numCache>
                  <c:formatCode>General</c:formatCode>
                  <c:ptCount val="4"/>
                  <c:pt idx="0">
                    <c:v>7.3999999999999996E-2</c:v>
                  </c:pt>
                  <c:pt idx="1">
                    <c:v>3.7999999999999999E-2</c:v>
                  </c:pt>
                  <c:pt idx="2">
                    <c:v>6.3E-2</c:v>
                  </c:pt>
                  <c:pt idx="3">
                    <c:v>8.1000000000000003E-2</c:v>
                  </c:pt>
                </c:numCache>
              </c:numRef>
            </c:plus>
            <c:minus>
              <c:numRef>
                <c:f>Sheet1!$M$45:$M$48</c:f>
                <c:numCache>
                  <c:formatCode>General</c:formatCode>
                  <c:ptCount val="4"/>
                  <c:pt idx="0">
                    <c:v>7.3999999999999996E-2</c:v>
                  </c:pt>
                  <c:pt idx="1">
                    <c:v>3.7999999999999999E-2</c:v>
                  </c:pt>
                  <c:pt idx="2">
                    <c:v>6.3E-2</c:v>
                  </c:pt>
                  <c:pt idx="3">
                    <c:v>8.1000000000000003E-2</c:v>
                  </c:pt>
                </c:numCache>
              </c:numRef>
            </c:minus>
          </c:errBars>
          <c:cat>
            <c:strRef>
              <c:f>Feuil1!$A$111:$A$114</c:f>
              <c:strCache>
                <c:ptCount val="4"/>
                <c:pt idx="0">
                  <c:v>7 j</c:v>
                </c:pt>
                <c:pt idx="1">
                  <c:v>14 j</c:v>
                </c:pt>
                <c:pt idx="2">
                  <c:v>21 j</c:v>
                </c:pt>
                <c:pt idx="3">
                  <c:v>28 j</c:v>
                </c:pt>
              </c:strCache>
            </c:strRef>
          </c:cat>
          <c:val>
            <c:numRef>
              <c:f>Feuil1!$F$111:$F$114</c:f>
              <c:numCache>
                <c:formatCode>General</c:formatCode>
                <c:ptCount val="4"/>
                <c:pt idx="0">
                  <c:v>8.59</c:v>
                </c:pt>
                <c:pt idx="1">
                  <c:v>8.33</c:v>
                </c:pt>
                <c:pt idx="2">
                  <c:v>8.0300000000000011</c:v>
                </c:pt>
                <c:pt idx="3">
                  <c:v>7.67</c:v>
                </c:pt>
              </c:numCache>
            </c:numRef>
          </c:val>
        </c:ser>
        <c:axId val="58252672"/>
        <c:axId val="59119104"/>
      </c:barChart>
      <c:catAx>
        <c:axId val="58252672"/>
        <c:scaling>
          <c:orientation val="minMax"/>
        </c:scaling>
        <c:axPos val="b"/>
        <c:title>
          <c:tx>
            <c:rich>
              <a:bodyPr/>
              <a:lstStyle/>
              <a:p>
                <a:pPr>
                  <a:defRPr/>
                </a:pPr>
                <a:r>
                  <a:rPr lang="en-US">
                    <a:latin typeface="Times New Roman" pitchFamily="18" charset="0"/>
                    <a:cs typeface="Times New Roman" pitchFamily="18" charset="0"/>
                  </a:rPr>
                  <a:t>Entreposage à +4°C en jours</a:t>
                </a:r>
              </a:p>
            </c:rich>
          </c:tx>
          <c:layout>
            <c:manualLayout>
              <c:xMode val="edge"/>
              <c:yMode val="edge"/>
              <c:x val="0.26701727582559642"/>
              <c:y val="0.91445828765075254"/>
            </c:manualLayout>
          </c:layout>
        </c:title>
        <c:numFmt formatCode="General" sourceLinked="1"/>
        <c:tickLblPos val="nextTo"/>
        <c:spPr>
          <a:ln>
            <a:solidFill>
              <a:sysClr val="windowText" lastClr="000000"/>
            </a:solidFill>
          </a:ln>
        </c:spPr>
        <c:txPr>
          <a:bodyPr/>
          <a:lstStyle/>
          <a:p>
            <a:pPr>
              <a:defRPr b="1"/>
            </a:pPr>
            <a:endParaRPr lang="fr-FR"/>
          </a:p>
        </c:txPr>
        <c:crossAx val="59119104"/>
        <c:crosses val="autoZero"/>
        <c:auto val="1"/>
        <c:lblAlgn val="ctr"/>
        <c:lblOffset val="100"/>
      </c:catAx>
      <c:valAx>
        <c:axId val="59119104"/>
        <c:scaling>
          <c:orientation val="minMax"/>
          <c:max val="10"/>
          <c:min val="5"/>
        </c:scaling>
        <c:axPos val="l"/>
        <c:title>
          <c:tx>
            <c:rich>
              <a:bodyPr rot="-5400000" vert="horz"/>
              <a:lstStyle/>
              <a:p>
                <a:pPr>
                  <a:defRPr/>
                </a:pPr>
                <a:r>
                  <a:rPr lang="en-US">
                    <a:latin typeface="Times New Roman" pitchFamily="18" charset="0"/>
                    <a:cs typeface="Times New Roman" pitchFamily="18" charset="0"/>
                  </a:rPr>
                  <a:t>log UFC/ml</a:t>
                </a:r>
              </a:p>
            </c:rich>
          </c:tx>
          <c:layout>
            <c:manualLayout>
              <c:xMode val="edge"/>
              <c:yMode val="edge"/>
              <c:x val="2.7699298781682227E-2"/>
              <c:y val="0.30576874093270062"/>
            </c:manualLayout>
          </c:layout>
        </c:title>
        <c:numFmt formatCode="General" sourceLinked="1"/>
        <c:tickLblPos val="nextTo"/>
        <c:spPr>
          <a:ln>
            <a:solidFill>
              <a:sysClr val="windowText" lastClr="000000"/>
            </a:solidFill>
          </a:ln>
        </c:spPr>
        <c:txPr>
          <a:bodyPr/>
          <a:lstStyle/>
          <a:p>
            <a:pPr>
              <a:defRPr b="1"/>
            </a:pPr>
            <a:endParaRPr lang="fr-FR"/>
          </a:p>
        </c:txPr>
        <c:crossAx val="58252672"/>
        <c:crosses val="autoZero"/>
        <c:crossBetween val="between"/>
        <c:majorUnit val="0.5"/>
      </c:valAx>
    </c:plotArea>
    <c:plotVisOnly val="1"/>
    <c:dispBlanksAs val="gap"/>
  </c:chart>
  <c:spPr>
    <a:ln>
      <a:solidFill>
        <a:schemeClr val="bg1"/>
      </a:solidFill>
    </a:ln>
  </c:spPr>
  <c:externalData r:id="rId1"/>
  <c:userShapes r:id="rId2"/>
</c:chartSpace>
</file>

<file path=word/charts/chart59.xml><?xml version="1.0" encoding="utf-8"?>
<c:chartSpace xmlns:c="http://schemas.openxmlformats.org/drawingml/2006/chart" xmlns:a="http://schemas.openxmlformats.org/drawingml/2006/main" xmlns:r="http://schemas.openxmlformats.org/officeDocument/2006/relationships">
  <c:date1904 val="1"/>
  <c:lang val="fr-FR"/>
  <c:style val="26"/>
  <c:chart>
    <c:title>
      <c:tx>
        <c:rich>
          <a:bodyPr/>
          <a:lstStyle/>
          <a:p>
            <a:pPr>
              <a:defRPr/>
            </a:pPr>
            <a:r>
              <a:rPr lang="fr-FR" b="0">
                <a:latin typeface="Times New Roman" pitchFamily="18" charset="0"/>
                <a:cs typeface="Times New Roman" pitchFamily="18" charset="0"/>
              </a:rPr>
              <a:t>D</a:t>
            </a:r>
          </a:p>
        </c:rich>
      </c:tx>
      <c:layout>
        <c:manualLayout>
          <c:xMode val="edge"/>
          <c:yMode val="edge"/>
          <c:x val="5.9718341658906776E-4"/>
          <c:y val="0"/>
        </c:manualLayout>
      </c:layout>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20194131647522631"/>
          <c:y val="0.13129468730201829"/>
          <c:w val="0.75613919227838744"/>
          <c:h val="0.67521520522613865"/>
        </c:manualLayout>
      </c:layout>
      <c:barChart>
        <c:barDir val="col"/>
        <c:grouping val="clustered"/>
        <c:ser>
          <c:idx val="0"/>
          <c:order val="0"/>
          <c:tx>
            <c:strRef>
              <c:f>Sheet2!$B$110</c:f>
              <c:strCache>
                <c:ptCount val="1"/>
                <c:pt idx="0">
                  <c:v>1 (Temoin)</c:v>
                </c:pt>
              </c:strCache>
            </c:strRef>
          </c:tx>
          <c:spPr>
            <a:solidFill>
              <a:srgbClr val="0070C0"/>
            </a:solidFill>
            <a:ln>
              <a:solidFill>
                <a:srgbClr val="0070C0"/>
              </a:solidFill>
            </a:ln>
          </c:spPr>
          <c:errBars>
            <c:errBarType val="both"/>
            <c:errValType val="cust"/>
            <c:plus>
              <c:numRef>
                <c:f>Sheet1!$I$45:$M$45</c:f>
                <c:numCache>
                  <c:formatCode>General</c:formatCode>
                  <c:ptCount val="5"/>
                  <c:pt idx="0">
                    <c:v>2.3E-2</c:v>
                  </c:pt>
                  <c:pt idx="1">
                    <c:v>2.9000000000000001E-2</c:v>
                  </c:pt>
                  <c:pt idx="2">
                    <c:v>6.1000000000000013E-2</c:v>
                  </c:pt>
                  <c:pt idx="3">
                    <c:v>3.1000000000000052E-2</c:v>
                  </c:pt>
                  <c:pt idx="4">
                    <c:v>2.4E-2</c:v>
                  </c:pt>
                </c:numCache>
              </c:numRef>
            </c:plus>
            <c:minus>
              <c:numRef>
                <c:f>Sheet1!$I$45:$M$45</c:f>
                <c:numCache>
                  <c:formatCode>General</c:formatCode>
                  <c:ptCount val="5"/>
                  <c:pt idx="0">
                    <c:v>2.3E-2</c:v>
                  </c:pt>
                  <c:pt idx="1">
                    <c:v>2.9000000000000001E-2</c:v>
                  </c:pt>
                  <c:pt idx="2">
                    <c:v>6.1000000000000013E-2</c:v>
                  </c:pt>
                  <c:pt idx="3">
                    <c:v>3.1000000000000052E-2</c:v>
                  </c:pt>
                  <c:pt idx="4">
                    <c:v>2.4E-2</c:v>
                  </c:pt>
                </c:numCache>
              </c:numRef>
            </c:minus>
          </c:errBars>
          <c:cat>
            <c:strRef>
              <c:f>Sheet2!$A$111:$A$114</c:f>
              <c:strCache>
                <c:ptCount val="4"/>
                <c:pt idx="0">
                  <c:v>7 j</c:v>
                </c:pt>
                <c:pt idx="1">
                  <c:v>14 j</c:v>
                </c:pt>
                <c:pt idx="2">
                  <c:v>21 j</c:v>
                </c:pt>
                <c:pt idx="3">
                  <c:v>28 j</c:v>
                </c:pt>
              </c:strCache>
            </c:strRef>
          </c:cat>
          <c:val>
            <c:numRef>
              <c:f>Sheet2!$B$111:$B$114</c:f>
              <c:numCache>
                <c:formatCode>General</c:formatCode>
                <c:ptCount val="4"/>
                <c:pt idx="0">
                  <c:v>6.9300000000000024</c:v>
                </c:pt>
                <c:pt idx="1">
                  <c:v>6.49</c:v>
                </c:pt>
                <c:pt idx="2">
                  <c:v>6.08</c:v>
                </c:pt>
                <c:pt idx="3">
                  <c:v>5.83</c:v>
                </c:pt>
              </c:numCache>
            </c:numRef>
          </c:val>
        </c:ser>
        <c:ser>
          <c:idx val="1"/>
          <c:order val="1"/>
          <c:tx>
            <c:strRef>
              <c:f>Sheet2!$C$110</c:f>
              <c:strCache>
                <c:ptCount val="1"/>
                <c:pt idx="0">
                  <c:v>2 (Lactoserum)</c:v>
                </c:pt>
              </c:strCache>
            </c:strRef>
          </c:tx>
          <c:spPr>
            <a:solidFill>
              <a:srgbClr val="FF9900"/>
            </a:solidFill>
            <a:ln>
              <a:solidFill>
                <a:srgbClr val="FF9900"/>
              </a:solidFill>
            </a:ln>
          </c:spPr>
          <c:errBars>
            <c:errBarType val="both"/>
            <c:errValType val="cust"/>
            <c:plus>
              <c:numRef>
                <c:f>Sheet1!$I$46:$M$46</c:f>
                <c:numCache>
                  <c:formatCode>General</c:formatCode>
                  <c:ptCount val="5"/>
                  <c:pt idx="0">
                    <c:v>3.3000000000000002E-2</c:v>
                  </c:pt>
                  <c:pt idx="1">
                    <c:v>1.7999999999999999E-2</c:v>
                  </c:pt>
                  <c:pt idx="2">
                    <c:v>3.9000000000000014E-2</c:v>
                  </c:pt>
                  <c:pt idx="3">
                    <c:v>2.3E-2</c:v>
                  </c:pt>
                  <c:pt idx="4">
                    <c:v>2.4E-2</c:v>
                  </c:pt>
                </c:numCache>
              </c:numRef>
            </c:plus>
            <c:minus>
              <c:numRef>
                <c:f>Sheet1!$I$46:$M$46</c:f>
                <c:numCache>
                  <c:formatCode>General</c:formatCode>
                  <c:ptCount val="5"/>
                  <c:pt idx="0">
                    <c:v>3.3000000000000002E-2</c:v>
                  </c:pt>
                  <c:pt idx="1">
                    <c:v>1.7999999999999999E-2</c:v>
                  </c:pt>
                  <c:pt idx="2">
                    <c:v>3.9000000000000014E-2</c:v>
                  </c:pt>
                  <c:pt idx="3">
                    <c:v>2.3E-2</c:v>
                  </c:pt>
                  <c:pt idx="4">
                    <c:v>2.4E-2</c:v>
                  </c:pt>
                </c:numCache>
              </c:numRef>
            </c:minus>
          </c:errBars>
          <c:cat>
            <c:strRef>
              <c:f>Sheet2!$A$111:$A$114</c:f>
              <c:strCache>
                <c:ptCount val="4"/>
                <c:pt idx="0">
                  <c:v>7 j</c:v>
                </c:pt>
                <c:pt idx="1">
                  <c:v>14 j</c:v>
                </c:pt>
                <c:pt idx="2">
                  <c:v>21 j</c:v>
                </c:pt>
                <c:pt idx="3">
                  <c:v>28 j</c:v>
                </c:pt>
              </c:strCache>
            </c:strRef>
          </c:cat>
          <c:val>
            <c:numRef>
              <c:f>Sheet2!$C$111:$C$114</c:f>
              <c:numCache>
                <c:formatCode>General</c:formatCode>
                <c:ptCount val="4"/>
                <c:pt idx="0">
                  <c:v>9.93</c:v>
                </c:pt>
                <c:pt idx="1">
                  <c:v>9.41</c:v>
                </c:pt>
                <c:pt idx="2">
                  <c:v>8.8000000000000007</c:v>
                </c:pt>
                <c:pt idx="3">
                  <c:v>8.3500000000000068</c:v>
                </c:pt>
              </c:numCache>
            </c:numRef>
          </c:val>
        </c:ser>
        <c:ser>
          <c:idx val="2"/>
          <c:order val="2"/>
          <c:tx>
            <c:strRef>
              <c:f>Sheet2!$D$110</c:f>
              <c:strCache>
                <c:ptCount val="1"/>
                <c:pt idx="0">
                  <c:v>3 (Promilk)</c:v>
                </c:pt>
              </c:strCache>
            </c:strRef>
          </c:tx>
          <c:spPr>
            <a:solidFill>
              <a:srgbClr val="92D050"/>
            </a:solidFill>
            <a:ln>
              <a:solidFill>
                <a:srgbClr val="92D050"/>
              </a:solidFill>
            </a:ln>
          </c:spPr>
          <c:errBars>
            <c:errBarType val="both"/>
            <c:errValType val="cust"/>
            <c:plus>
              <c:numRef>
                <c:f>Sheet1!$I$47:$M$47</c:f>
                <c:numCache>
                  <c:formatCode>General</c:formatCode>
                  <c:ptCount val="5"/>
                  <c:pt idx="0">
                    <c:v>2.8000000000000001E-2</c:v>
                  </c:pt>
                  <c:pt idx="1">
                    <c:v>2.4E-2</c:v>
                  </c:pt>
                  <c:pt idx="2">
                    <c:v>6.3E-2</c:v>
                  </c:pt>
                  <c:pt idx="3">
                    <c:v>4.9000000000000113E-2</c:v>
                  </c:pt>
                  <c:pt idx="4">
                    <c:v>4.1000000000000002E-2</c:v>
                  </c:pt>
                </c:numCache>
              </c:numRef>
            </c:plus>
            <c:minus>
              <c:numRef>
                <c:f>Sheet1!$I$47:$M$47</c:f>
                <c:numCache>
                  <c:formatCode>General</c:formatCode>
                  <c:ptCount val="5"/>
                  <c:pt idx="0">
                    <c:v>2.8000000000000001E-2</c:v>
                  </c:pt>
                  <c:pt idx="1">
                    <c:v>2.4E-2</c:v>
                  </c:pt>
                  <c:pt idx="2">
                    <c:v>6.3E-2</c:v>
                  </c:pt>
                  <c:pt idx="3">
                    <c:v>4.9000000000000113E-2</c:v>
                  </c:pt>
                  <c:pt idx="4">
                    <c:v>4.1000000000000002E-2</c:v>
                  </c:pt>
                </c:numCache>
              </c:numRef>
            </c:minus>
          </c:errBars>
          <c:cat>
            <c:strRef>
              <c:f>Sheet2!$A$111:$A$114</c:f>
              <c:strCache>
                <c:ptCount val="4"/>
                <c:pt idx="0">
                  <c:v>7 j</c:v>
                </c:pt>
                <c:pt idx="1">
                  <c:v>14 j</c:v>
                </c:pt>
                <c:pt idx="2">
                  <c:v>21 j</c:v>
                </c:pt>
                <c:pt idx="3">
                  <c:v>28 j</c:v>
                </c:pt>
              </c:strCache>
            </c:strRef>
          </c:cat>
          <c:val>
            <c:numRef>
              <c:f>Sheet2!$D$111:$D$114</c:f>
              <c:numCache>
                <c:formatCode>General</c:formatCode>
                <c:ptCount val="4"/>
                <c:pt idx="0">
                  <c:v>8.39</c:v>
                </c:pt>
                <c:pt idx="1">
                  <c:v>8</c:v>
                </c:pt>
                <c:pt idx="2">
                  <c:v>7.73</c:v>
                </c:pt>
                <c:pt idx="3">
                  <c:v>7.1599999999999975</c:v>
                </c:pt>
              </c:numCache>
            </c:numRef>
          </c:val>
        </c:ser>
        <c:ser>
          <c:idx val="3"/>
          <c:order val="3"/>
          <c:tx>
            <c:strRef>
              <c:f>Sheet2!$E$110</c:f>
              <c:strCache>
                <c:ptCount val="1"/>
                <c:pt idx="0">
                  <c:v>4 (H. Caseine)</c:v>
                </c:pt>
              </c:strCache>
            </c:strRef>
          </c:tx>
          <c:spPr>
            <a:solidFill>
              <a:srgbClr val="990099"/>
            </a:solidFill>
            <a:ln>
              <a:solidFill>
                <a:srgbClr val="990099"/>
              </a:solidFill>
            </a:ln>
          </c:spPr>
          <c:errBars>
            <c:errBarType val="both"/>
            <c:errValType val="cust"/>
            <c:plus>
              <c:numRef>
                <c:f>Sheet1!$I$48:$M$48</c:f>
                <c:numCache>
                  <c:formatCode>General</c:formatCode>
                  <c:ptCount val="5"/>
                  <c:pt idx="0">
                    <c:v>3.6999999999999998E-2</c:v>
                  </c:pt>
                  <c:pt idx="1">
                    <c:v>4.0000000000000022E-2</c:v>
                  </c:pt>
                  <c:pt idx="2">
                    <c:v>3.7999999999999999E-2</c:v>
                  </c:pt>
                  <c:pt idx="3">
                    <c:v>8.1000000000000003E-2</c:v>
                  </c:pt>
                  <c:pt idx="4">
                    <c:v>3.1000000000000052E-2</c:v>
                  </c:pt>
                </c:numCache>
              </c:numRef>
            </c:plus>
            <c:minus>
              <c:numRef>
                <c:f>Sheet1!$I$48:$M$48</c:f>
                <c:numCache>
                  <c:formatCode>General</c:formatCode>
                  <c:ptCount val="5"/>
                  <c:pt idx="0">
                    <c:v>3.6999999999999998E-2</c:v>
                  </c:pt>
                  <c:pt idx="1">
                    <c:v>4.0000000000000022E-2</c:v>
                  </c:pt>
                  <c:pt idx="2">
                    <c:v>3.7999999999999999E-2</c:v>
                  </c:pt>
                  <c:pt idx="3">
                    <c:v>8.1000000000000003E-2</c:v>
                  </c:pt>
                  <c:pt idx="4">
                    <c:v>3.1000000000000052E-2</c:v>
                  </c:pt>
                </c:numCache>
              </c:numRef>
            </c:minus>
          </c:errBars>
          <c:cat>
            <c:strRef>
              <c:f>Sheet2!$A$111:$A$114</c:f>
              <c:strCache>
                <c:ptCount val="4"/>
                <c:pt idx="0">
                  <c:v>7 j</c:v>
                </c:pt>
                <c:pt idx="1">
                  <c:v>14 j</c:v>
                </c:pt>
                <c:pt idx="2">
                  <c:v>21 j</c:v>
                </c:pt>
                <c:pt idx="3">
                  <c:v>28 j</c:v>
                </c:pt>
              </c:strCache>
            </c:strRef>
          </c:cat>
          <c:val>
            <c:numRef>
              <c:f>Sheet2!$E$111:$E$114</c:f>
              <c:numCache>
                <c:formatCode>General</c:formatCode>
                <c:ptCount val="4"/>
                <c:pt idx="0">
                  <c:v>8.9</c:v>
                </c:pt>
                <c:pt idx="1">
                  <c:v>8.32</c:v>
                </c:pt>
                <c:pt idx="2">
                  <c:v>8.02</c:v>
                </c:pt>
                <c:pt idx="3">
                  <c:v>7.55</c:v>
                </c:pt>
              </c:numCache>
            </c:numRef>
          </c:val>
        </c:ser>
        <c:ser>
          <c:idx val="4"/>
          <c:order val="4"/>
          <c:tx>
            <c:strRef>
              <c:f>Sheet2!$F$110</c:f>
              <c:strCache>
                <c:ptCount val="1"/>
                <c:pt idx="0">
                  <c:v>5 (H. Proteine)</c:v>
                </c:pt>
              </c:strCache>
            </c:strRef>
          </c:tx>
          <c:spPr>
            <a:solidFill>
              <a:srgbClr val="FF33CC"/>
            </a:solidFill>
            <a:ln>
              <a:solidFill>
                <a:srgbClr val="FF33CC"/>
              </a:solidFill>
            </a:ln>
          </c:spPr>
          <c:errBars>
            <c:errBarType val="both"/>
            <c:errValType val="cust"/>
            <c:plus>
              <c:numRef>
                <c:f>Sheet2!$M$111:$M$114</c:f>
                <c:numCache>
                  <c:formatCode>General</c:formatCode>
                  <c:ptCount val="4"/>
                  <c:pt idx="0">
                    <c:v>2.4E-2</c:v>
                  </c:pt>
                  <c:pt idx="1">
                    <c:v>2.4E-2</c:v>
                  </c:pt>
                  <c:pt idx="2">
                    <c:v>4.1000000000000002E-2</c:v>
                  </c:pt>
                  <c:pt idx="3">
                    <c:v>3.1000000000000052E-2</c:v>
                  </c:pt>
                </c:numCache>
              </c:numRef>
            </c:plus>
            <c:minus>
              <c:numRef>
                <c:f>Sheet2!$M$111:$M$114</c:f>
                <c:numCache>
                  <c:formatCode>General</c:formatCode>
                  <c:ptCount val="4"/>
                  <c:pt idx="0">
                    <c:v>2.4E-2</c:v>
                  </c:pt>
                  <c:pt idx="1">
                    <c:v>2.4E-2</c:v>
                  </c:pt>
                  <c:pt idx="2">
                    <c:v>4.1000000000000002E-2</c:v>
                  </c:pt>
                  <c:pt idx="3">
                    <c:v>3.1000000000000052E-2</c:v>
                  </c:pt>
                </c:numCache>
              </c:numRef>
            </c:minus>
          </c:errBars>
          <c:cat>
            <c:strRef>
              <c:f>Sheet2!$A$111:$A$114</c:f>
              <c:strCache>
                <c:ptCount val="4"/>
                <c:pt idx="0">
                  <c:v>7 j</c:v>
                </c:pt>
                <c:pt idx="1">
                  <c:v>14 j</c:v>
                </c:pt>
                <c:pt idx="2">
                  <c:v>21 j</c:v>
                </c:pt>
                <c:pt idx="3">
                  <c:v>28 j</c:v>
                </c:pt>
              </c:strCache>
            </c:strRef>
          </c:cat>
          <c:val>
            <c:numRef>
              <c:f>Sheet2!$F$111:$F$114</c:f>
              <c:numCache>
                <c:formatCode>General</c:formatCode>
                <c:ptCount val="4"/>
                <c:pt idx="0">
                  <c:v>9.33</c:v>
                </c:pt>
                <c:pt idx="1">
                  <c:v>8.82</c:v>
                </c:pt>
                <c:pt idx="2">
                  <c:v>8.34</c:v>
                </c:pt>
                <c:pt idx="3">
                  <c:v>8.0400000000000009</c:v>
                </c:pt>
              </c:numCache>
            </c:numRef>
          </c:val>
        </c:ser>
        <c:axId val="59246848"/>
        <c:axId val="59253120"/>
      </c:barChart>
      <c:catAx>
        <c:axId val="59246848"/>
        <c:scaling>
          <c:orientation val="minMax"/>
        </c:scaling>
        <c:axPos val="b"/>
        <c:title>
          <c:tx>
            <c:rich>
              <a:bodyPr/>
              <a:lstStyle/>
              <a:p>
                <a:pPr>
                  <a:defRPr/>
                </a:pPr>
                <a:r>
                  <a:rPr lang="fr-FR">
                    <a:latin typeface="Times New Roman" pitchFamily="18" charset="0"/>
                    <a:cs typeface="Times New Roman" pitchFamily="18" charset="0"/>
                  </a:rPr>
                  <a:t>Entreposage à +4°C en jours</a:t>
                </a:r>
              </a:p>
            </c:rich>
          </c:tx>
          <c:layout>
            <c:manualLayout>
              <c:xMode val="edge"/>
              <c:yMode val="edge"/>
              <c:x val="0.27158447299350946"/>
              <c:y val="0.93095244450375902"/>
            </c:manualLayout>
          </c:layout>
        </c:title>
        <c:numFmt formatCode="General" sourceLinked="1"/>
        <c:tickLblPos val="nextTo"/>
        <c:spPr>
          <a:ln>
            <a:solidFill>
              <a:sysClr val="windowText" lastClr="000000"/>
            </a:solidFill>
          </a:ln>
        </c:spPr>
        <c:txPr>
          <a:bodyPr rot="0" vert="horz"/>
          <a:lstStyle/>
          <a:p>
            <a:pPr>
              <a:defRPr b="1"/>
            </a:pPr>
            <a:endParaRPr lang="fr-FR"/>
          </a:p>
        </c:txPr>
        <c:crossAx val="59253120"/>
        <c:crosses val="autoZero"/>
        <c:auto val="1"/>
        <c:lblAlgn val="ctr"/>
        <c:lblOffset val="100"/>
      </c:catAx>
      <c:valAx>
        <c:axId val="59253120"/>
        <c:scaling>
          <c:orientation val="minMax"/>
          <c:max val="10"/>
          <c:min val="5.5"/>
        </c:scaling>
        <c:axPos val="l"/>
        <c:title>
          <c:tx>
            <c:rich>
              <a:bodyPr/>
              <a:lstStyle/>
              <a:p>
                <a:pPr>
                  <a:defRPr/>
                </a:pPr>
                <a:r>
                  <a:rPr lang="fr-FR">
                    <a:latin typeface="Times New Roman" pitchFamily="18" charset="0"/>
                    <a:cs typeface="Times New Roman" pitchFamily="18" charset="0"/>
                  </a:rPr>
                  <a:t>log UFC/ml</a:t>
                </a:r>
              </a:p>
            </c:rich>
          </c:tx>
          <c:layout/>
        </c:title>
        <c:numFmt formatCode="General" sourceLinked="1"/>
        <c:tickLblPos val="nextTo"/>
        <c:spPr>
          <a:ln>
            <a:solidFill>
              <a:sysClr val="windowText" lastClr="000000"/>
            </a:solidFill>
          </a:ln>
        </c:spPr>
        <c:txPr>
          <a:bodyPr rot="0" vert="horz"/>
          <a:lstStyle/>
          <a:p>
            <a:pPr>
              <a:defRPr b="1"/>
            </a:pPr>
            <a:endParaRPr lang="fr-FR"/>
          </a:p>
        </c:txPr>
        <c:crossAx val="59246848"/>
        <c:crosses val="autoZero"/>
        <c:crossBetween val="between"/>
        <c:majorUnit val="0.5"/>
      </c:valAx>
    </c:plotArea>
    <c:plotVisOnly val="1"/>
    <c:dispBlanksAs val="gap"/>
  </c:chart>
  <c:spPr>
    <a:ln>
      <a:solidFill>
        <a:schemeClr val="bg1"/>
      </a:solidFill>
    </a:ln>
  </c:spPr>
  <c:externalData r:id="rId1"/>
  <c:userShapes r:id="rId2"/>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a:pPr>
            <a:r>
              <a:rPr lang="fr-FR"/>
              <a:t>E</a:t>
            </a:r>
          </a:p>
        </c:rich>
      </c:tx>
      <c:layout>
        <c:manualLayout>
          <c:xMode val="edge"/>
          <c:yMode val="edge"/>
          <c:x val="1.2723923648361301E-3"/>
          <c:y val="0"/>
        </c:manualLayout>
      </c:layout>
      <c:spPr>
        <a:solidFill>
          <a:schemeClr val="bg1">
            <a:lumMod val="85000"/>
          </a:schemeClr>
        </a:solidFill>
        <a:scene3d>
          <a:camera prst="orthographicFront"/>
          <a:lightRig rig="threePt" dir="t"/>
        </a:scene3d>
        <a:sp3d>
          <a:bevelT w="190500" h="38100"/>
        </a:sp3d>
      </c:spPr>
    </c:title>
    <c:plotArea>
      <c:layout>
        <c:manualLayout>
          <c:layoutTarget val="inner"/>
          <c:xMode val="edge"/>
          <c:yMode val="edge"/>
          <c:x val="0.23469060583365367"/>
          <c:y val="0.11318836209303597"/>
          <c:w val="0.69642207963079161"/>
          <c:h val="0.69725046071368735"/>
        </c:manualLayout>
      </c:layout>
      <c:lineChart>
        <c:grouping val="standard"/>
        <c:ser>
          <c:idx val="0"/>
          <c:order val="0"/>
          <c:tx>
            <c:strRef>
              <c:f>Sheet1!$B$12</c:f>
              <c:strCache>
                <c:ptCount val="1"/>
                <c:pt idx="0">
                  <c:v>1 (Temoin)</c:v>
                </c:pt>
              </c:strCache>
            </c:strRef>
          </c:tx>
          <c:spPr>
            <a:ln w="12700"/>
          </c:spPr>
          <c:errBars>
            <c:errDir val="y"/>
            <c:errBarType val="both"/>
            <c:errValType val="cust"/>
            <c:plus>
              <c:numRef>
                <c:f>Sheet1!$I$13:$M$13</c:f>
                <c:numCache>
                  <c:formatCode>General</c:formatCode>
                  <c:ptCount val="5"/>
                  <c:pt idx="0">
                    <c:v>2.8000000000000001E-2</c:v>
                  </c:pt>
                  <c:pt idx="1">
                    <c:v>2.9000000000000001E-2</c:v>
                  </c:pt>
                  <c:pt idx="2">
                    <c:v>1.7999999999999999E-2</c:v>
                  </c:pt>
                  <c:pt idx="3">
                    <c:v>2.7000000000000156E-2</c:v>
                  </c:pt>
                  <c:pt idx="4">
                    <c:v>1.7000000000000001E-2</c:v>
                  </c:pt>
                </c:numCache>
              </c:numRef>
            </c:plus>
            <c:minus>
              <c:numRef>
                <c:f>Sheet1!$I$13:$M$13</c:f>
                <c:numCache>
                  <c:formatCode>General</c:formatCode>
                  <c:ptCount val="5"/>
                  <c:pt idx="0">
                    <c:v>2.8000000000000001E-2</c:v>
                  </c:pt>
                  <c:pt idx="1">
                    <c:v>2.9000000000000001E-2</c:v>
                  </c:pt>
                  <c:pt idx="2">
                    <c:v>1.7999999999999999E-2</c:v>
                  </c:pt>
                  <c:pt idx="3">
                    <c:v>2.7000000000000156E-2</c:v>
                  </c:pt>
                  <c:pt idx="4">
                    <c:v>1.7000000000000001E-2</c:v>
                  </c:pt>
                </c:numCache>
              </c:numRef>
            </c:minus>
          </c:errBars>
          <c:cat>
            <c:strRef>
              <c:f>Sheet1!$A$13:$A$16</c:f>
              <c:strCache>
                <c:ptCount val="4"/>
                <c:pt idx="0">
                  <c:v>T0</c:v>
                </c:pt>
                <c:pt idx="1">
                  <c:v>T1</c:v>
                </c:pt>
                <c:pt idx="2">
                  <c:v>T2</c:v>
                </c:pt>
                <c:pt idx="3">
                  <c:v>T3</c:v>
                </c:pt>
              </c:strCache>
            </c:strRef>
          </c:cat>
          <c:val>
            <c:numRef>
              <c:f>Sheet1!$B$13:$B$16</c:f>
              <c:numCache>
                <c:formatCode>General</c:formatCode>
                <c:ptCount val="4"/>
                <c:pt idx="0">
                  <c:v>5.98</c:v>
                </c:pt>
                <c:pt idx="1">
                  <c:v>7</c:v>
                </c:pt>
                <c:pt idx="2">
                  <c:v>7.6599999999999975</c:v>
                </c:pt>
                <c:pt idx="3">
                  <c:v>8.51</c:v>
                </c:pt>
              </c:numCache>
            </c:numRef>
          </c:val>
        </c:ser>
        <c:ser>
          <c:idx val="1"/>
          <c:order val="1"/>
          <c:tx>
            <c:strRef>
              <c:f>Sheet1!$C$12</c:f>
              <c:strCache>
                <c:ptCount val="1"/>
                <c:pt idx="0">
                  <c:v>2 (Lactoserum)</c:v>
                </c:pt>
              </c:strCache>
            </c:strRef>
          </c:tx>
          <c:spPr>
            <a:ln w="12700">
              <a:solidFill>
                <a:srgbClr val="FF9900"/>
              </a:solidFill>
            </a:ln>
          </c:spPr>
          <c:marker>
            <c:symbol val="square"/>
            <c:size val="4"/>
            <c:spPr>
              <a:solidFill>
                <a:srgbClr val="FF9900"/>
              </a:solidFill>
              <a:ln>
                <a:solidFill>
                  <a:srgbClr val="FF9900"/>
                </a:solidFill>
              </a:ln>
            </c:spPr>
          </c:marker>
          <c:errBars>
            <c:errDir val="y"/>
            <c:errBarType val="both"/>
            <c:errValType val="cust"/>
            <c:plus>
              <c:numRef>
                <c:f>Sheet1!$I$14:$M$14</c:f>
                <c:numCache>
                  <c:formatCode>General</c:formatCode>
                  <c:ptCount val="5"/>
                  <c:pt idx="0">
                    <c:v>3.1000000000000052E-2</c:v>
                  </c:pt>
                  <c:pt idx="1">
                    <c:v>2.5999999999999999E-2</c:v>
                  </c:pt>
                  <c:pt idx="2">
                    <c:v>2.5999999999999999E-2</c:v>
                  </c:pt>
                  <c:pt idx="3">
                    <c:v>3.2000000000000042E-2</c:v>
                  </c:pt>
                  <c:pt idx="4">
                    <c:v>2.1999999999999999E-2</c:v>
                  </c:pt>
                </c:numCache>
              </c:numRef>
            </c:plus>
            <c:minus>
              <c:numRef>
                <c:f>Sheet1!$I$14:$M$14</c:f>
                <c:numCache>
                  <c:formatCode>General</c:formatCode>
                  <c:ptCount val="5"/>
                  <c:pt idx="0">
                    <c:v>3.1000000000000052E-2</c:v>
                  </c:pt>
                  <c:pt idx="1">
                    <c:v>2.5999999999999999E-2</c:v>
                  </c:pt>
                  <c:pt idx="2">
                    <c:v>2.5999999999999999E-2</c:v>
                  </c:pt>
                  <c:pt idx="3">
                    <c:v>3.2000000000000042E-2</c:v>
                  </c:pt>
                  <c:pt idx="4">
                    <c:v>2.1999999999999999E-2</c:v>
                  </c:pt>
                </c:numCache>
              </c:numRef>
            </c:minus>
          </c:errBars>
          <c:cat>
            <c:strRef>
              <c:f>Sheet1!$A$13:$A$16</c:f>
              <c:strCache>
                <c:ptCount val="4"/>
                <c:pt idx="0">
                  <c:v>T0</c:v>
                </c:pt>
                <c:pt idx="1">
                  <c:v>T1</c:v>
                </c:pt>
                <c:pt idx="2">
                  <c:v>T2</c:v>
                </c:pt>
                <c:pt idx="3">
                  <c:v>T3</c:v>
                </c:pt>
              </c:strCache>
            </c:strRef>
          </c:cat>
          <c:val>
            <c:numRef>
              <c:f>Sheet1!$C$13:$C$16</c:f>
              <c:numCache>
                <c:formatCode>General</c:formatCode>
                <c:ptCount val="4"/>
                <c:pt idx="0">
                  <c:v>5.98</c:v>
                </c:pt>
                <c:pt idx="1">
                  <c:v>7.37</c:v>
                </c:pt>
                <c:pt idx="2">
                  <c:v>8.3600000000000048</c:v>
                </c:pt>
                <c:pt idx="3">
                  <c:v>9.2000000000000011</c:v>
                </c:pt>
              </c:numCache>
            </c:numRef>
          </c:val>
        </c:ser>
        <c:ser>
          <c:idx val="2"/>
          <c:order val="2"/>
          <c:tx>
            <c:strRef>
              <c:f>Sheet1!$D$12</c:f>
              <c:strCache>
                <c:ptCount val="1"/>
                <c:pt idx="0">
                  <c:v>3 (Promilk)</c:v>
                </c:pt>
              </c:strCache>
            </c:strRef>
          </c:tx>
          <c:spPr>
            <a:ln w="12700">
              <a:solidFill>
                <a:srgbClr val="92D050"/>
              </a:solidFill>
            </a:ln>
          </c:spPr>
          <c:marker>
            <c:spPr>
              <a:solidFill>
                <a:srgbClr val="92D050"/>
              </a:solidFill>
              <a:ln>
                <a:solidFill>
                  <a:srgbClr val="92D050"/>
                </a:solidFill>
              </a:ln>
            </c:spPr>
          </c:marker>
          <c:errBars>
            <c:errDir val="y"/>
            <c:errBarType val="both"/>
            <c:errValType val="cust"/>
            <c:plus>
              <c:numRef>
                <c:f>Sheet1!$I$15:$M$15</c:f>
                <c:numCache>
                  <c:formatCode>General</c:formatCode>
                  <c:ptCount val="5"/>
                  <c:pt idx="0">
                    <c:v>3.3000000000000002E-2</c:v>
                  </c:pt>
                  <c:pt idx="1">
                    <c:v>2.5999999999999999E-2</c:v>
                  </c:pt>
                  <c:pt idx="2">
                    <c:v>3.6999999999999998E-2</c:v>
                  </c:pt>
                  <c:pt idx="3">
                    <c:v>2.7000000000000156E-2</c:v>
                  </c:pt>
                  <c:pt idx="4">
                    <c:v>2.1999999999999999E-2</c:v>
                  </c:pt>
                </c:numCache>
              </c:numRef>
            </c:plus>
            <c:minus>
              <c:numRef>
                <c:f>Sheet1!$I$15:$M$15</c:f>
                <c:numCache>
                  <c:formatCode>General</c:formatCode>
                  <c:ptCount val="5"/>
                  <c:pt idx="0">
                    <c:v>3.3000000000000002E-2</c:v>
                  </c:pt>
                  <c:pt idx="1">
                    <c:v>2.5999999999999999E-2</c:v>
                  </c:pt>
                  <c:pt idx="2">
                    <c:v>3.6999999999999998E-2</c:v>
                  </c:pt>
                  <c:pt idx="3">
                    <c:v>2.7000000000000156E-2</c:v>
                  </c:pt>
                  <c:pt idx="4">
                    <c:v>2.1999999999999999E-2</c:v>
                  </c:pt>
                </c:numCache>
              </c:numRef>
            </c:minus>
          </c:errBars>
          <c:cat>
            <c:strRef>
              <c:f>Sheet1!$A$13:$A$16</c:f>
              <c:strCache>
                <c:ptCount val="4"/>
                <c:pt idx="0">
                  <c:v>T0</c:v>
                </c:pt>
                <c:pt idx="1">
                  <c:v>T1</c:v>
                </c:pt>
                <c:pt idx="2">
                  <c:v>T2</c:v>
                </c:pt>
                <c:pt idx="3">
                  <c:v>T3</c:v>
                </c:pt>
              </c:strCache>
            </c:strRef>
          </c:cat>
          <c:val>
            <c:numRef>
              <c:f>Sheet1!$D$13:$D$16</c:f>
              <c:numCache>
                <c:formatCode>General</c:formatCode>
                <c:ptCount val="4"/>
                <c:pt idx="0">
                  <c:v>5.98</c:v>
                </c:pt>
                <c:pt idx="1">
                  <c:v>7.1099999999999985</c:v>
                </c:pt>
                <c:pt idx="2">
                  <c:v>7.8199999999999985</c:v>
                </c:pt>
                <c:pt idx="3">
                  <c:v>8.81</c:v>
                </c:pt>
              </c:numCache>
            </c:numRef>
          </c:val>
        </c:ser>
        <c:ser>
          <c:idx val="3"/>
          <c:order val="3"/>
          <c:tx>
            <c:strRef>
              <c:f>Sheet1!$E$12</c:f>
              <c:strCache>
                <c:ptCount val="1"/>
                <c:pt idx="0">
                  <c:v>4 (H. Caseine)</c:v>
                </c:pt>
              </c:strCache>
            </c:strRef>
          </c:tx>
          <c:spPr>
            <a:ln w="12700">
              <a:solidFill>
                <a:srgbClr val="990099"/>
              </a:solidFill>
            </a:ln>
          </c:spPr>
          <c:marker>
            <c:spPr>
              <a:solidFill>
                <a:srgbClr val="990099"/>
              </a:solidFill>
              <a:ln>
                <a:solidFill>
                  <a:srgbClr val="990099"/>
                </a:solidFill>
              </a:ln>
            </c:spPr>
          </c:marker>
          <c:errBars>
            <c:errDir val="y"/>
            <c:errBarType val="both"/>
            <c:errValType val="cust"/>
            <c:plus>
              <c:numRef>
                <c:f>Sheet1!$I$16:$M$16</c:f>
                <c:numCache>
                  <c:formatCode>General</c:formatCode>
                  <c:ptCount val="5"/>
                  <c:pt idx="0">
                    <c:v>5.3999999999999999E-2</c:v>
                  </c:pt>
                  <c:pt idx="1">
                    <c:v>3.4000000000000002E-2</c:v>
                  </c:pt>
                  <c:pt idx="2">
                    <c:v>2.1999999999999999E-2</c:v>
                  </c:pt>
                  <c:pt idx="3">
                    <c:v>3.5999999999999997E-2</c:v>
                  </c:pt>
                  <c:pt idx="4">
                    <c:v>3.1000000000000052E-2</c:v>
                  </c:pt>
                </c:numCache>
              </c:numRef>
            </c:plus>
            <c:minus>
              <c:numRef>
                <c:f>Sheet1!$I$16:$M$16</c:f>
                <c:numCache>
                  <c:formatCode>General</c:formatCode>
                  <c:ptCount val="5"/>
                  <c:pt idx="0">
                    <c:v>5.3999999999999999E-2</c:v>
                  </c:pt>
                  <c:pt idx="1">
                    <c:v>3.4000000000000002E-2</c:v>
                  </c:pt>
                  <c:pt idx="2">
                    <c:v>2.1999999999999999E-2</c:v>
                  </c:pt>
                  <c:pt idx="3">
                    <c:v>3.5999999999999997E-2</c:v>
                  </c:pt>
                  <c:pt idx="4">
                    <c:v>3.1000000000000052E-2</c:v>
                  </c:pt>
                </c:numCache>
              </c:numRef>
            </c:minus>
          </c:errBars>
          <c:cat>
            <c:strRef>
              <c:f>Sheet1!$A$13:$A$16</c:f>
              <c:strCache>
                <c:ptCount val="4"/>
                <c:pt idx="0">
                  <c:v>T0</c:v>
                </c:pt>
                <c:pt idx="1">
                  <c:v>T1</c:v>
                </c:pt>
                <c:pt idx="2">
                  <c:v>T2</c:v>
                </c:pt>
                <c:pt idx="3">
                  <c:v>T3</c:v>
                </c:pt>
              </c:strCache>
            </c:strRef>
          </c:cat>
          <c:val>
            <c:numRef>
              <c:f>Sheet1!$E$13:$E$16</c:f>
              <c:numCache>
                <c:formatCode>General</c:formatCode>
                <c:ptCount val="4"/>
                <c:pt idx="0">
                  <c:v>5.98</c:v>
                </c:pt>
                <c:pt idx="1">
                  <c:v>7.24</c:v>
                </c:pt>
                <c:pt idx="2">
                  <c:v>7.95</c:v>
                </c:pt>
                <c:pt idx="3">
                  <c:v>8.91</c:v>
                </c:pt>
              </c:numCache>
            </c:numRef>
          </c:val>
        </c:ser>
        <c:ser>
          <c:idx val="4"/>
          <c:order val="4"/>
          <c:tx>
            <c:strRef>
              <c:f>Sheet1!$F$12</c:f>
              <c:strCache>
                <c:ptCount val="1"/>
                <c:pt idx="0">
                  <c:v>5 (H. Proteine)</c:v>
                </c:pt>
              </c:strCache>
            </c:strRef>
          </c:tx>
          <c:spPr>
            <a:ln w="12700">
              <a:solidFill>
                <a:srgbClr val="FF33CC"/>
              </a:solidFill>
            </a:ln>
          </c:spPr>
          <c:marker>
            <c:symbol val="circle"/>
            <c:size val="3"/>
            <c:spPr>
              <a:solidFill>
                <a:srgbClr val="FF33CC"/>
              </a:solidFill>
              <a:ln>
                <a:solidFill>
                  <a:srgbClr val="FF33CC"/>
                </a:solidFill>
              </a:ln>
            </c:spPr>
          </c:marker>
          <c:errBars>
            <c:errDir val="y"/>
            <c:errBarType val="both"/>
            <c:errValType val="cust"/>
            <c:plus>
              <c:numRef>
                <c:f>Sheet2!$M$22:$M$25</c:f>
                <c:numCache>
                  <c:formatCode>General</c:formatCode>
                  <c:ptCount val="4"/>
                  <c:pt idx="0">
                    <c:v>1.7000000000000001E-2</c:v>
                  </c:pt>
                  <c:pt idx="1">
                    <c:v>2.1999999999999999E-2</c:v>
                  </c:pt>
                  <c:pt idx="2">
                    <c:v>2.1999999999999999E-2</c:v>
                  </c:pt>
                  <c:pt idx="3">
                    <c:v>3.1000000000000052E-2</c:v>
                  </c:pt>
                </c:numCache>
              </c:numRef>
            </c:plus>
            <c:minus>
              <c:numRef>
                <c:f>Sheet2!$M$22:$M$25</c:f>
                <c:numCache>
                  <c:formatCode>General</c:formatCode>
                  <c:ptCount val="4"/>
                  <c:pt idx="0">
                    <c:v>1.7000000000000001E-2</c:v>
                  </c:pt>
                  <c:pt idx="1">
                    <c:v>2.1999999999999999E-2</c:v>
                  </c:pt>
                  <c:pt idx="2">
                    <c:v>2.1999999999999999E-2</c:v>
                  </c:pt>
                  <c:pt idx="3">
                    <c:v>3.1000000000000052E-2</c:v>
                  </c:pt>
                </c:numCache>
              </c:numRef>
            </c:minus>
            <c:spPr>
              <a:ln w="3175">
                <a:solidFill>
                  <a:srgbClr val="000000"/>
                </a:solidFill>
                <a:prstDash val="solid"/>
              </a:ln>
            </c:spPr>
          </c:errBars>
          <c:cat>
            <c:strRef>
              <c:f>Sheet1!$A$13:$A$16</c:f>
              <c:strCache>
                <c:ptCount val="4"/>
                <c:pt idx="0">
                  <c:v>T0</c:v>
                </c:pt>
                <c:pt idx="1">
                  <c:v>T1</c:v>
                </c:pt>
                <c:pt idx="2">
                  <c:v>T2</c:v>
                </c:pt>
                <c:pt idx="3">
                  <c:v>T3</c:v>
                </c:pt>
              </c:strCache>
            </c:strRef>
          </c:cat>
          <c:val>
            <c:numRef>
              <c:f>Sheet1!$F$13:$F$16</c:f>
              <c:numCache>
                <c:formatCode>General</c:formatCode>
                <c:ptCount val="4"/>
                <c:pt idx="0">
                  <c:v>5.99</c:v>
                </c:pt>
                <c:pt idx="1">
                  <c:v>7.37</c:v>
                </c:pt>
                <c:pt idx="2">
                  <c:v>8.43</c:v>
                </c:pt>
                <c:pt idx="3">
                  <c:v>9.2900000000000009</c:v>
                </c:pt>
              </c:numCache>
            </c:numRef>
          </c:val>
        </c:ser>
        <c:marker val="1"/>
        <c:axId val="56181120"/>
        <c:axId val="56183040"/>
      </c:lineChart>
      <c:catAx>
        <c:axId val="56181120"/>
        <c:scaling>
          <c:orientation val="minMax"/>
        </c:scaling>
        <c:axPos val="b"/>
        <c:title>
          <c:tx>
            <c:rich>
              <a:bodyPr/>
              <a:lstStyle/>
              <a:p>
                <a:pPr>
                  <a:defRPr/>
                </a:pPr>
                <a:r>
                  <a:rPr lang="fr-FR"/>
                  <a:t>Temps (h)</a:t>
                </a:r>
              </a:p>
            </c:rich>
          </c:tx>
          <c:layout>
            <c:manualLayout>
              <c:xMode val="edge"/>
              <c:yMode val="edge"/>
              <c:x val="0.46039754670768984"/>
              <c:y val="0.91773049645390248"/>
            </c:manualLayout>
          </c:layout>
        </c:title>
        <c:numFmt formatCode="General" sourceLinked="1"/>
        <c:tickLblPos val="nextTo"/>
        <c:spPr>
          <a:ln w="9525">
            <a:solidFill>
              <a:schemeClr val="tx1"/>
            </a:solidFill>
          </a:ln>
        </c:spPr>
        <c:crossAx val="56183040"/>
        <c:crosses val="autoZero"/>
        <c:auto val="1"/>
        <c:lblAlgn val="ctr"/>
        <c:lblOffset val="100"/>
      </c:catAx>
      <c:valAx>
        <c:axId val="56183040"/>
        <c:scaling>
          <c:orientation val="minMax"/>
          <c:max val="9.5"/>
          <c:min val="5.5"/>
        </c:scaling>
        <c:axPos val="l"/>
        <c:title>
          <c:tx>
            <c:rich>
              <a:bodyPr rot="-5400000" vert="horz"/>
              <a:lstStyle/>
              <a:p>
                <a:pPr>
                  <a:defRPr/>
                </a:pPr>
                <a:r>
                  <a:rPr lang="en-US"/>
                  <a:t>log UFC/ml</a:t>
                </a:r>
              </a:p>
            </c:rich>
          </c:tx>
          <c:layout/>
        </c:title>
        <c:numFmt formatCode="General" sourceLinked="1"/>
        <c:tickLblPos val="nextTo"/>
        <c:spPr>
          <a:ln w="9525">
            <a:solidFill>
              <a:schemeClr val="tx1"/>
            </a:solidFill>
          </a:ln>
        </c:spPr>
        <c:crossAx val="56181120"/>
        <c:crosses val="autoZero"/>
        <c:crossBetween val="midCat"/>
        <c:majorUnit val="0.5"/>
      </c:valAx>
    </c:plotArea>
    <c:plotVisOnly val="1"/>
    <c:dispBlanksAs val="gap"/>
  </c:chart>
  <c:spPr>
    <a:ln>
      <a:solidFill>
        <a:schemeClr val="bg1"/>
      </a:solidFill>
    </a:ln>
  </c:spPr>
  <c:txPr>
    <a:bodyPr/>
    <a:lstStyle/>
    <a:p>
      <a:pPr>
        <a:defRPr b="1">
          <a:latin typeface="Times New Roman" pitchFamily="18" charset="0"/>
          <a:cs typeface="Times New Roman" pitchFamily="18" charset="0"/>
        </a:defRPr>
      </a:pPr>
      <a:endParaRPr lang="fr-FR"/>
    </a:p>
  </c:txPr>
  <c:externalData r:id="rId1"/>
  <c:userShapes r:id="rId2"/>
</c:chartSpace>
</file>

<file path=word/charts/chart60.xml><?xml version="1.0" encoding="utf-8"?>
<c:chartSpace xmlns:c="http://schemas.openxmlformats.org/drawingml/2006/chart" xmlns:a="http://schemas.openxmlformats.org/drawingml/2006/main" xmlns:r="http://schemas.openxmlformats.org/officeDocument/2006/relationships">
  <c:date1904 val="1"/>
  <c:lang val="fr-FR"/>
  <c:style val="26"/>
  <c:chart>
    <c:title>
      <c:tx>
        <c:rich>
          <a:bodyPr/>
          <a:lstStyle/>
          <a:p>
            <a:pPr>
              <a:defRPr/>
            </a:pPr>
            <a:r>
              <a:rPr lang="fr-FR" b="0">
                <a:latin typeface="Times New Roman" pitchFamily="18" charset="0"/>
                <a:cs typeface="Times New Roman" pitchFamily="18" charset="0"/>
              </a:rPr>
              <a:t>C</a:t>
            </a:r>
          </a:p>
        </c:rich>
      </c:tx>
      <c:layout>
        <c:manualLayout>
          <c:xMode val="edge"/>
          <c:yMode val="edge"/>
          <c:x val="5.3627973922614524E-3"/>
          <c:y val="0"/>
        </c:manualLayout>
      </c:layout>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19762559609626271"/>
          <c:y val="0.1341438493027878"/>
          <c:w val="0.72889945360603936"/>
          <c:h val="0.67386021191795453"/>
        </c:manualLayout>
      </c:layout>
      <c:barChart>
        <c:barDir val="col"/>
        <c:grouping val="clustered"/>
        <c:ser>
          <c:idx val="0"/>
          <c:order val="0"/>
          <c:tx>
            <c:strRef>
              <c:f>Feuil1!$B$121</c:f>
              <c:strCache>
                <c:ptCount val="1"/>
                <c:pt idx="0">
                  <c:v>1 (Temoin)</c:v>
                </c:pt>
              </c:strCache>
            </c:strRef>
          </c:tx>
          <c:spPr>
            <a:solidFill>
              <a:srgbClr val="0070C0"/>
            </a:solidFill>
            <a:ln>
              <a:solidFill>
                <a:srgbClr val="0070C0"/>
              </a:solidFill>
            </a:ln>
          </c:spPr>
          <c:errBars>
            <c:errBarType val="both"/>
            <c:errValType val="cust"/>
            <c:plus>
              <c:numRef>
                <c:f>[1]Sheet1!$I$44:$M$44</c:f>
                <c:numCache>
                  <c:formatCode>General</c:formatCode>
                  <c:ptCount val="5"/>
                  <c:pt idx="0">
                    <c:v>0</c:v>
                  </c:pt>
                  <c:pt idx="1">
                    <c:v>0</c:v>
                  </c:pt>
                  <c:pt idx="2">
                    <c:v>0</c:v>
                  </c:pt>
                  <c:pt idx="3">
                    <c:v>0</c:v>
                  </c:pt>
                  <c:pt idx="4">
                    <c:v>0</c:v>
                  </c:pt>
                </c:numCache>
              </c:numRef>
            </c:plus>
            <c:minus>
              <c:numRef>
                <c:f>[1]Sheet1!$I$44:$M$44</c:f>
                <c:numCache>
                  <c:formatCode>General</c:formatCode>
                  <c:ptCount val="5"/>
                  <c:pt idx="0">
                    <c:v>0</c:v>
                  </c:pt>
                  <c:pt idx="1">
                    <c:v>0</c:v>
                  </c:pt>
                  <c:pt idx="2">
                    <c:v>0</c:v>
                  </c:pt>
                  <c:pt idx="3">
                    <c:v>0</c:v>
                  </c:pt>
                  <c:pt idx="4">
                    <c:v>0</c:v>
                  </c:pt>
                </c:numCache>
              </c:numRef>
            </c:minus>
          </c:errBars>
          <c:cat>
            <c:strRef>
              <c:f>Feuil1!$A$122:$A$125</c:f>
              <c:strCache>
                <c:ptCount val="4"/>
                <c:pt idx="0">
                  <c:v>7 j</c:v>
                </c:pt>
                <c:pt idx="1">
                  <c:v>14 j</c:v>
                </c:pt>
                <c:pt idx="2">
                  <c:v>21 j</c:v>
                </c:pt>
                <c:pt idx="3">
                  <c:v>28 j</c:v>
                </c:pt>
              </c:strCache>
            </c:strRef>
          </c:cat>
          <c:val>
            <c:numRef>
              <c:f>Feuil1!$B$122:$B$125</c:f>
              <c:numCache>
                <c:formatCode>General</c:formatCode>
                <c:ptCount val="4"/>
                <c:pt idx="0">
                  <c:v>6.72</c:v>
                </c:pt>
                <c:pt idx="1">
                  <c:v>6.4300000000000024</c:v>
                </c:pt>
                <c:pt idx="2">
                  <c:v>6.18</c:v>
                </c:pt>
                <c:pt idx="3">
                  <c:v>5.96</c:v>
                </c:pt>
              </c:numCache>
            </c:numRef>
          </c:val>
        </c:ser>
        <c:ser>
          <c:idx val="1"/>
          <c:order val="1"/>
          <c:tx>
            <c:strRef>
              <c:f>Feuil1!$C$121</c:f>
              <c:strCache>
                <c:ptCount val="1"/>
                <c:pt idx="0">
                  <c:v>2 (Lactoserum)</c:v>
                </c:pt>
              </c:strCache>
            </c:strRef>
          </c:tx>
          <c:spPr>
            <a:solidFill>
              <a:srgbClr val="FF9900"/>
            </a:solidFill>
            <a:ln>
              <a:solidFill>
                <a:srgbClr val="FF9900"/>
              </a:solidFill>
            </a:ln>
          </c:spPr>
          <c:errBars>
            <c:errBarType val="both"/>
            <c:errValType val="cust"/>
            <c:plus>
              <c:numRef>
                <c:f>[1]Sheet1!$I$45:$M$45</c:f>
                <c:numCache>
                  <c:formatCode>General</c:formatCode>
                  <c:ptCount val="5"/>
                  <c:pt idx="0">
                    <c:v>0</c:v>
                  </c:pt>
                  <c:pt idx="1">
                    <c:v>0</c:v>
                  </c:pt>
                  <c:pt idx="2">
                    <c:v>0</c:v>
                  </c:pt>
                  <c:pt idx="3">
                    <c:v>0</c:v>
                  </c:pt>
                  <c:pt idx="4">
                    <c:v>0</c:v>
                  </c:pt>
                </c:numCache>
              </c:numRef>
            </c:plus>
            <c:minus>
              <c:numRef>
                <c:f>[1]Sheet1!$I$45:$M$45</c:f>
                <c:numCache>
                  <c:formatCode>General</c:formatCode>
                  <c:ptCount val="5"/>
                  <c:pt idx="0">
                    <c:v>0</c:v>
                  </c:pt>
                  <c:pt idx="1">
                    <c:v>0</c:v>
                  </c:pt>
                  <c:pt idx="2">
                    <c:v>0</c:v>
                  </c:pt>
                  <c:pt idx="3">
                    <c:v>0</c:v>
                  </c:pt>
                  <c:pt idx="4">
                    <c:v>0</c:v>
                  </c:pt>
                </c:numCache>
              </c:numRef>
            </c:minus>
          </c:errBars>
          <c:cat>
            <c:strRef>
              <c:f>Feuil1!$A$122:$A$125</c:f>
              <c:strCache>
                <c:ptCount val="4"/>
                <c:pt idx="0">
                  <c:v>7 j</c:v>
                </c:pt>
                <c:pt idx="1">
                  <c:v>14 j</c:v>
                </c:pt>
                <c:pt idx="2">
                  <c:v>21 j</c:v>
                </c:pt>
                <c:pt idx="3">
                  <c:v>28 j</c:v>
                </c:pt>
              </c:strCache>
            </c:strRef>
          </c:cat>
          <c:val>
            <c:numRef>
              <c:f>Feuil1!$C$122:$C$125</c:f>
              <c:numCache>
                <c:formatCode>General</c:formatCode>
                <c:ptCount val="4"/>
                <c:pt idx="0">
                  <c:v>9.48</c:v>
                </c:pt>
                <c:pt idx="1">
                  <c:v>8.9600000000000026</c:v>
                </c:pt>
                <c:pt idx="2">
                  <c:v>8.56</c:v>
                </c:pt>
                <c:pt idx="3">
                  <c:v>8.2399999999999984</c:v>
                </c:pt>
              </c:numCache>
            </c:numRef>
          </c:val>
        </c:ser>
        <c:ser>
          <c:idx val="2"/>
          <c:order val="2"/>
          <c:tx>
            <c:strRef>
              <c:f>Feuil1!$D$121</c:f>
              <c:strCache>
                <c:ptCount val="1"/>
                <c:pt idx="0">
                  <c:v>3 (Promilk)</c:v>
                </c:pt>
              </c:strCache>
            </c:strRef>
          </c:tx>
          <c:spPr>
            <a:solidFill>
              <a:srgbClr val="92D050"/>
            </a:solidFill>
            <a:ln>
              <a:solidFill>
                <a:srgbClr val="92D050"/>
              </a:solidFill>
            </a:ln>
          </c:spPr>
          <c:errBars>
            <c:errBarType val="both"/>
            <c:errValType val="cust"/>
            <c:plus>
              <c:numRef>
                <c:f>[1]Sheet1!$I$46:$M$46</c:f>
                <c:numCache>
                  <c:formatCode>General</c:formatCode>
                  <c:ptCount val="5"/>
                  <c:pt idx="0">
                    <c:v>0</c:v>
                  </c:pt>
                  <c:pt idx="1">
                    <c:v>0</c:v>
                  </c:pt>
                  <c:pt idx="2">
                    <c:v>0</c:v>
                  </c:pt>
                  <c:pt idx="3">
                    <c:v>0</c:v>
                  </c:pt>
                  <c:pt idx="4">
                    <c:v>0</c:v>
                  </c:pt>
                </c:numCache>
              </c:numRef>
            </c:plus>
            <c:minus>
              <c:numRef>
                <c:f>[1]Sheet1!$I$46:$M$46</c:f>
                <c:numCache>
                  <c:formatCode>General</c:formatCode>
                  <c:ptCount val="5"/>
                  <c:pt idx="0">
                    <c:v>0</c:v>
                  </c:pt>
                  <c:pt idx="1">
                    <c:v>0</c:v>
                  </c:pt>
                  <c:pt idx="2">
                    <c:v>0</c:v>
                  </c:pt>
                  <c:pt idx="3">
                    <c:v>0</c:v>
                  </c:pt>
                  <c:pt idx="4">
                    <c:v>0</c:v>
                  </c:pt>
                </c:numCache>
              </c:numRef>
            </c:minus>
          </c:errBars>
          <c:cat>
            <c:strRef>
              <c:f>Feuil1!$A$122:$A$125</c:f>
              <c:strCache>
                <c:ptCount val="4"/>
                <c:pt idx="0">
                  <c:v>7 j</c:v>
                </c:pt>
                <c:pt idx="1">
                  <c:v>14 j</c:v>
                </c:pt>
                <c:pt idx="2">
                  <c:v>21 j</c:v>
                </c:pt>
                <c:pt idx="3">
                  <c:v>28 j</c:v>
                </c:pt>
              </c:strCache>
            </c:strRef>
          </c:cat>
          <c:val>
            <c:numRef>
              <c:f>Feuil1!$D$122:$D$125</c:f>
              <c:numCache>
                <c:formatCode>General</c:formatCode>
                <c:ptCount val="4"/>
                <c:pt idx="0">
                  <c:v>8.09</c:v>
                </c:pt>
                <c:pt idx="1">
                  <c:v>7.78</c:v>
                </c:pt>
                <c:pt idx="2">
                  <c:v>7.46</c:v>
                </c:pt>
                <c:pt idx="3">
                  <c:v>7.18</c:v>
                </c:pt>
              </c:numCache>
            </c:numRef>
          </c:val>
        </c:ser>
        <c:ser>
          <c:idx val="3"/>
          <c:order val="3"/>
          <c:tx>
            <c:strRef>
              <c:f>Feuil1!$E$121</c:f>
              <c:strCache>
                <c:ptCount val="1"/>
                <c:pt idx="0">
                  <c:v>4 (H. Caseine)</c:v>
                </c:pt>
              </c:strCache>
            </c:strRef>
          </c:tx>
          <c:spPr>
            <a:solidFill>
              <a:srgbClr val="990099"/>
            </a:solidFill>
            <a:ln>
              <a:solidFill>
                <a:srgbClr val="990099"/>
              </a:solidFill>
            </a:ln>
          </c:spPr>
          <c:errBars>
            <c:errBarType val="both"/>
            <c:errValType val="cust"/>
            <c:plus>
              <c:numRef>
                <c:f>[1]Sheet1!$I$47:$M$47</c:f>
                <c:numCache>
                  <c:formatCode>General</c:formatCode>
                  <c:ptCount val="5"/>
                  <c:pt idx="0">
                    <c:v>0</c:v>
                  </c:pt>
                  <c:pt idx="1">
                    <c:v>0</c:v>
                  </c:pt>
                  <c:pt idx="2">
                    <c:v>0</c:v>
                  </c:pt>
                  <c:pt idx="3">
                    <c:v>0</c:v>
                  </c:pt>
                  <c:pt idx="4">
                    <c:v>0</c:v>
                  </c:pt>
                </c:numCache>
              </c:numRef>
            </c:plus>
            <c:minus>
              <c:numRef>
                <c:f>[1]Sheet1!$I$47:$M$47</c:f>
                <c:numCache>
                  <c:formatCode>General</c:formatCode>
                  <c:ptCount val="5"/>
                  <c:pt idx="0">
                    <c:v>0</c:v>
                  </c:pt>
                  <c:pt idx="1">
                    <c:v>0</c:v>
                  </c:pt>
                  <c:pt idx="2">
                    <c:v>0</c:v>
                  </c:pt>
                  <c:pt idx="3">
                    <c:v>0</c:v>
                  </c:pt>
                  <c:pt idx="4">
                    <c:v>0</c:v>
                  </c:pt>
                </c:numCache>
              </c:numRef>
            </c:minus>
          </c:errBars>
          <c:cat>
            <c:strRef>
              <c:f>Feuil1!$A$122:$A$125</c:f>
              <c:strCache>
                <c:ptCount val="4"/>
                <c:pt idx="0">
                  <c:v>7 j</c:v>
                </c:pt>
                <c:pt idx="1">
                  <c:v>14 j</c:v>
                </c:pt>
                <c:pt idx="2">
                  <c:v>21 j</c:v>
                </c:pt>
                <c:pt idx="3">
                  <c:v>28 j</c:v>
                </c:pt>
              </c:strCache>
            </c:strRef>
          </c:cat>
          <c:val>
            <c:numRef>
              <c:f>Feuil1!$E$122:$E$125</c:f>
              <c:numCache>
                <c:formatCode>General</c:formatCode>
                <c:ptCount val="4"/>
                <c:pt idx="0">
                  <c:v>8.5</c:v>
                </c:pt>
                <c:pt idx="1">
                  <c:v>8.1</c:v>
                </c:pt>
                <c:pt idx="2">
                  <c:v>7.75</c:v>
                </c:pt>
                <c:pt idx="3">
                  <c:v>7.41</c:v>
                </c:pt>
              </c:numCache>
            </c:numRef>
          </c:val>
        </c:ser>
        <c:ser>
          <c:idx val="4"/>
          <c:order val="4"/>
          <c:tx>
            <c:strRef>
              <c:f>Feuil1!$F$121</c:f>
              <c:strCache>
                <c:ptCount val="1"/>
                <c:pt idx="0">
                  <c:v>5 (H. Proteine)</c:v>
                </c:pt>
              </c:strCache>
            </c:strRef>
          </c:tx>
          <c:spPr>
            <a:solidFill>
              <a:srgbClr val="FF33CC"/>
            </a:solidFill>
            <a:ln>
              <a:solidFill>
                <a:srgbClr val="FF33CC"/>
              </a:solidFill>
            </a:ln>
          </c:spPr>
          <c:errBars>
            <c:errBarType val="both"/>
            <c:errValType val="cust"/>
            <c:plus>
              <c:numRef>
                <c:f>Feuil1!$M$122:$M$125</c:f>
                <c:numCache>
                  <c:formatCode>General</c:formatCode>
                  <c:ptCount val="4"/>
                  <c:pt idx="0">
                    <c:v>4.5000000000000012E-2</c:v>
                  </c:pt>
                  <c:pt idx="1">
                    <c:v>4.2000000000000023E-2</c:v>
                  </c:pt>
                  <c:pt idx="2">
                    <c:v>4.3000000000000003E-2</c:v>
                  </c:pt>
                  <c:pt idx="3">
                    <c:v>4.2000000000000023E-2</c:v>
                  </c:pt>
                </c:numCache>
              </c:numRef>
            </c:plus>
            <c:minus>
              <c:numRef>
                <c:f>Feuil1!$M$122:$M$125</c:f>
                <c:numCache>
                  <c:formatCode>General</c:formatCode>
                  <c:ptCount val="4"/>
                  <c:pt idx="0">
                    <c:v>4.5000000000000012E-2</c:v>
                  </c:pt>
                  <c:pt idx="1">
                    <c:v>4.2000000000000023E-2</c:v>
                  </c:pt>
                  <c:pt idx="2">
                    <c:v>4.3000000000000003E-2</c:v>
                  </c:pt>
                  <c:pt idx="3">
                    <c:v>4.2000000000000023E-2</c:v>
                  </c:pt>
                </c:numCache>
              </c:numRef>
            </c:minus>
          </c:errBars>
          <c:cat>
            <c:strRef>
              <c:f>Feuil1!$A$122:$A$125</c:f>
              <c:strCache>
                <c:ptCount val="4"/>
                <c:pt idx="0">
                  <c:v>7 j</c:v>
                </c:pt>
                <c:pt idx="1">
                  <c:v>14 j</c:v>
                </c:pt>
                <c:pt idx="2">
                  <c:v>21 j</c:v>
                </c:pt>
                <c:pt idx="3">
                  <c:v>28 j</c:v>
                </c:pt>
              </c:strCache>
            </c:strRef>
          </c:cat>
          <c:val>
            <c:numRef>
              <c:f>Feuil1!$F$122:$F$125</c:f>
              <c:numCache>
                <c:formatCode>General</c:formatCode>
                <c:ptCount val="4"/>
                <c:pt idx="0">
                  <c:v>8.6399999999999988</c:v>
                </c:pt>
                <c:pt idx="1">
                  <c:v>8.34</c:v>
                </c:pt>
                <c:pt idx="2">
                  <c:v>7.9700000000000024</c:v>
                </c:pt>
                <c:pt idx="3">
                  <c:v>7.59</c:v>
                </c:pt>
              </c:numCache>
            </c:numRef>
          </c:val>
        </c:ser>
        <c:axId val="59298944"/>
        <c:axId val="59300864"/>
      </c:barChart>
      <c:catAx>
        <c:axId val="59298944"/>
        <c:scaling>
          <c:orientation val="minMax"/>
        </c:scaling>
        <c:axPos val="b"/>
        <c:title>
          <c:tx>
            <c:rich>
              <a:bodyPr/>
              <a:lstStyle/>
              <a:p>
                <a:pPr>
                  <a:defRPr/>
                </a:pPr>
                <a:r>
                  <a:rPr lang="en-US">
                    <a:latin typeface="Times New Roman" pitchFamily="18" charset="0"/>
                    <a:cs typeface="Times New Roman" pitchFamily="18" charset="0"/>
                  </a:rPr>
                  <a:t>Entreposage à 4°C en jours</a:t>
                </a:r>
              </a:p>
            </c:rich>
          </c:tx>
          <c:layout>
            <c:manualLayout>
              <c:xMode val="edge"/>
              <c:yMode val="edge"/>
              <c:x val="0.32794952000862931"/>
              <c:y val="0.92453331822730656"/>
            </c:manualLayout>
          </c:layout>
        </c:title>
        <c:numFmt formatCode="General" sourceLinked="1"/>
        <c:tickLblPos val="nextTo"/>
        <c:spPr>
          <a:ln>
            <a:solidFill>
              <a:sysClr val="windowText" lastClr="000000"/>
            </a:solidFill>
          </a:ln>
        </c:spPr>
        <c:txPr>
          <a:bodyPr/>
          <a:lstStyle/>
          <a:p>
            <a:pPr>
              <a:defRPr b="1"/>
            </a:pPr>
            <a:endParaRPr lang="fr-FR"/>
          </a:p>
        </c:txPr>
        <c:crossAx val="59300864"/>
        <c:crosses val="autoZero"/>
        <c:auto val="1"/>
        <c:lblAlgn val="ctr"/>
        <c:lblOffset val="100"/>
      </c:catAx>
      <c:valAx>
        <c:axId val="59300864"/>
        <c:scaling>
          <c:orientation val="minMax"/>
          <c:max val="10"/>
          <c:min val="5"/>
        </c:scaling>
        <c:axPos val="l"/>
        <c:title>
          <c:tx>
            <c:rich>
              <a:bodyPr rot="-5400000" vert="horz"/>
              <a:lstStyle/>
              <a:p>
                <a:pPr>
                  <a:defRPr/>
                </a:pPr>
                <a:r>
                  <a:rPr lang="en-US">
                    <a:latin typeface="Times New Roman" pitchFamily="18" charset="0"/>
                    <a:cs typeface="Times New Roman" pitchFamily="18" charset="0"/>
                  </a:rPr>
                  <a:t>log UFC/ml</a:t>
                </a:r>
              </a:p>
            </c:rich>
          </c:tx>
          <c:layout/>
        </c:title>
        <c:numFmt formatCode="General" sourceLinked="1"/>
        <c:tickLblPos val="nextTo"/>
        <c:spPr>
          <a:ln>
            <a:solidFill>
              <a:sysClr val="windowText" lastClr="000000"/>
            </a:solidFill>
          </a:ln>
        </c:spPr>
        <c:txPr>
          <a:bodyPr/>
          <a:lstStyle/>
          <a:p>
            <a:pPr>
              <a:defRPr b="1"/>
            </a:pPr>
            <a:endParaRPr lang="fr-FR"/>
          </a:p>
        </c:txPr>
        <c:crossAx val="59298944"/>
        <c:crosses val="autoZero"/>
        <c:crossBetween val="between"/>
        <c:majorUnit val="0.5"/>
      </c:valAx>
    </c:plotArea>
    <c:plotVisOnly val="1"/>
    <c:dispBlanksAs val="gap"/>
  </c:chart>
  <c:spPr>
    <a:ln>
      <a:solidFill>
        <a:schemeClr val="bg1"/>
      </a:solidFill>
    </a:ln>
  </c:spPr>
  <c:externalData r:id="rId1"/>
  <c:userShapes r:id="rId2"/>
</c:chartSpace>
</file>

<file path=word/charts/chart61.xml><?xml version="1.0" encoding="utf-8"?>
<c:chartSpace xmlns:c="http://schemas.openxmlformats.org/drawingml/2006/chart" xmlns:a="http://schemas.openxmlformats.org/drawingml/2006/main" xmlns:r="http://schemas.openxmlformats.org/officeDocument/2006/relationships">
  <c:date1904 val="1"/>
  <c:lang val="fr-FR"/>
  <c:style val="26"/>
  <c:chart>
    <c:title>
      <c:tx>
        <c:rich>
          <a:bodyPr/>
          <a:lstStyle/>
          <a:p>
            <a:pPr>
              <a:defRPr/>
            </a:pPr>
            <a:r>
              <a:rPr lang="fr-FR" b="0">
                <a:latin typeface="Times New Roman" pitchFamily="18" charset="0"/>
                <a:cs typeface="Times New Roman" pitchFamily="18" charset="0"/>
              </a:rPr>
              <a:t>E</a:t>
            </a:r>
          </a:p>
        </c:rich>
      </c:tx>
      <c:layout>
        <c:manualLayout>
          <c:xMode val="edge"/>
          <c:yMode val="edge"/>
          <c:x val="1.1939465013682058E-3"/>
          <c:y val="1.0217113665389528E-2"/>
        </c:manualLayout>
      </c:layout>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16957733126168595"/>
          <c:y val="0.13553023957111823"/>
          <c:w val="0.7822981701755366"/>
          <c:h val="0.68019135905884165"/>
        </c:manualLayout>
      </c:layout>
      <c:barChart>
        <c:barDir val="col"/>
        <c:grouping val="clustered"/>
        <c:ser>
          <c:idx val="0"/>
          <c:order val="0"/>
          <c:tx>
            <c:strRef>
              <c:f>Feuil1!$B$131</c:f>
              <c:strCache>
                <c:ptCount val="1"/>
                <c:pt idx="0">
                  <c:v>1 (Temoin)</c:v>
                </c:pt>
              </c:strCache>
            </c:strRef>
          </c:tx>
          <c:spPr>
            <a:solidFill>
              <a:srgbClr val="0070C0"/>
            </a:solidFill>
            <a:ln>
              <a:solidFill>
                <a:srgbClr val="0070C0"/>
              </a:solidFill>
            </a:ln>
          </c:spPr>
          <c:errBars>
            <c:errBarType val="both"/>
            <c:errValType val="cust"/>
            <c:plus>
              <c:numRef>
                <c:f>Sheet1!$I$53:$I$56</c:f>
                <c:numCache>
                  <c:formatCode>General</c:formatCode>
                  <c:ptCount val="4"/>
                  <c:pt idx="0">
                    <c:v>4.9000000000000113E-2</c:v>
                  </c:pt>
                  <c:pt idx="1">
                    <c:v>7.0000000000000021E-2</c:v>
                  </c:pt>
                  <c:pt idx="2">
                    <c:v>5.5000000000000014E-2</c:v>
                  </c:pt>
                  <c:pt idx="3">
                    <c:v>3.2000000000000042E-2</c:v>
                  </c:pt>
                </c:numCache>
              </c:numRef>
            </c:plus>
            <c:minus>
              <c:numRef>
                <c:f>Sheet1!$I$53:$I$56</c:f>
                <c:numCache>
                  <c:formatCode>General</c:formatCode>
                  <c:ptCount val="4"/>
                  <c:pt idx="0">
                    <c:v>4.9000000000000113E-2</c:v>
                  </c:pt>
                  <c:pt idx="1">
                    <c:v>7.0000000000000021E-2</c:v>
                  </c:pt>
                  <c:pt idx="2">
                    <c:v>5.5000000000000014E-2</c:v>
                  </c:pt>
                  <c:pt idx="3">
                    <c:v>3.2000000000000042E-2</c:v>
                  </c:pt>
                </c:numCache>
              </c:numRef>
            </c:minus>
          </c:errBars>
          <c:cat>
            <c:strRef>
              <c:f>Feuil1!$A$132:$A$135</c:f>
              <c:strCache>
                <c:ptCount val="4"/>
                <c:pt idx="0">
                  <c:v>7 j</c:v>
                </c:pt>
                <c:pt idx="1">
                  <c:v>14 j</c:v>
                </c:pt>
                <c:pt idx="2">
                  <c:v>21 j</c:v>
                </c:pt>
                <c:pt idx="3">
                  <c:v>28 j</c:v>
                </c:pt>
              </c:strCache>
            </c:strRef>
          </c:cat>
          <c:val>
            <c:numRef>
              <c:f>Feuil1!$B$132:$B$135</c:f>
              <c:numCache>
                <c:formatCode>General</c:formatCode>
                <c:ptCount val="4"/>
                <c:pt idx="0">
                  <c:v>5.9700000000000024</c:v>
                </c:pt>
                <c:pt idx="1">
                  <c:v>5.7700000000000014</c:v>
                </c:pt>
                <c:pt idx="2">
                  <c:v>5.4</c:v>
                </c:pt>
                <c:pt idx="3">
                  <c:v>5.25</c:v>
                </c:pt>
              </c:numCache>
            </c:numRef>
          </c:val>
        </c:ser>
        <c:ser>
          <c:idx val="1"/>
          <c:order val="1"/>
          <c:tx>
            <c:strRef>
              <c:f>Feuil1!$C$131</c:f>
              <c:strCache>
                <c:ptCount val="1"/>
                <c:pt idx="0">
                  <c:v>2 (Lactoserum)</c:v>
                </c:pt>
              </c:strCache>
            </c:strRef>
          </c:tx>
          <c:spPr>
            <a:solidFill>
              <a:srgbClr val="FF9900"/>
            </a:solidFill>
            <a:ln>
              <a:solidFill>
                <a:srgbClr val="FF9900"/>
              </a:solidFill>
            </a:ln>
          </c:spPr>
          <c:errBars>
            <c:errBarType val="both"/>
            <c:errValType val="cust"/>
            <c:plus>
              <c:numRef>
                <c:f>Sheet1!$J$53:$J$56</c:f>
                <c:numCache>
                  <c:formatCode>General</c:formatCode>
                  <c:ptCount val="4"/>
                  <c:pt idx="0">
                    <c:v>4.7000000000000014E-2</c:v>
                  </c:pt>
                  <c:pt idx="1">
                    <c:v>6.0000000000000032E-2</c:v>
                  </c:pt>
                  <c:pt idx="2">
                    <c:v>3.6999999999999998E-2</c:v>
                  </c:pt>
                  <c:pt idx="3">
                    <c:v>4.8000000000000001E-2</c:v>
                  </c:pt>
                </c:numCache>
              </c:numRef>
            </c:plus>
            <c:minus>
              <c:numRef>
                <c:f>Sheet1!$J$53:$J$56</c:f>
                <c:numCache>
                  <c:formatCode>General</c:formatCode>
                  <c:ptCount val="4"/>
                  <c:pt idx="0">
                    <c:v>4.7000000000000014E-2</c:v>
                  </c:pt>
                  <c:pt idx="1">
                    <c:v>6.0000000000000032E-2</c:v>
                  </c:pt>
                  <c:pt idx="2">
                    <c:v>3.6999999999999998E-2</c:v>
                  </c:pt>
                  <c:pt idx="3">
                    <c:v>4.8000000000000001E-2</c:v>
                  </c:pt>
                </c:numCache>
              </c:numRef>
            </c:minus>
          </c:errBars>
          <c:cat>
            <c:strRef>
              <c:f>Feuil1!$A$132:$A$135</c:f>
              <c:strCache>
                <c:ptCount val="4"/>
                <c:pt idx="0">
                  <c:v>7 j</c:v>
                </c:pt>
                <c:pt idx="1">
                  <c:v>14 j</c:v>
                </c:pt>
                <c:pt idx="2">
                  <c:v>21 j</c:v>
                </c:pt>
                <c:pt idx="3">
                  <c:v>28 j</c:v>
                </c:pt>
              </c:strCache>
            </c:strRef>
          </c:cat>
          <c:val>
            <c:numRef>
              <c:f>Feuil1!$C$132:$C$135</c:f>
              <c:numCache>
                <c:formatCode>General</c:formatCode>
                <c:ptCount val="4"/>
                <c:pt idx="0">
                  <c:v>7.75</c:v>
                </c:pt>
                <c:pt idx="1">
                  <c:v>7.54</c:v>
                </c:pt>
                <c:pt idx="2">
                  <c:v>7.1199999999999966</c:v>
                </c:pt>
                <c:pt idx="3">
                  <c:v>6.7700000000000014</c:v>
                </c:pt>
              </c:numCache>
            </c:numRef>
          </c:val>
        </c:ser>
        <c:ser>
          <c:idx val="2"/>
          <c:order val="2"/>
          <c:tx>
            <c:strRef>
              <c:f>Feuil1!$D$131</c:f>
              <c:strCache>
                <c:ptCount val="1"/>
                <c:pt idx="0">
                  <c:v>3 (Promilk)</c:v>
                </c:pt>
              </c:strCache>
            </c:strRef>
          </c:tx>
          <c:spPr>
            <a:solidFill>
              <a:srgbClr val="92D050"/>
            </a:solidFill>
            <a:ln>
              <a:solidFill>
                <a:srgbClr val="92D050"/>
              </a:solidFill>
            </a:ln>
          </c:spPr>
          <c:errBars>
            <c:errBarType val="both"/>
            <c:errValType val="cust"/>
            <c:plus>
              <c:numRef>
                <c:f>Sheet1!$K$53:$K$56</c:f>
                <c:numCache>
                  <c:formatCode>General</c:formatCode>
                  <c:ptCount val="4"/>
                  <c:pt idx="0">
                    <c:v>4.1000000000000002E-2</c:v>
                  </c:pt>
                  <c:pt idx="1">
                    <c:v>4.3999999999999997E-2</c:v>
                  </c:pt>
                  <c:pt idx="2">
                    <c:v>3.9000000000000014E-2</c:v>
                  </c:pt>
                  <c:pt idx="3">
                    <c:v>6.6000000000000003E-2</c:v>
                  </c:pt>
                </c:numCache>
              </c:numRef>
            </c:plus>
            <c:minus>
              <c:numRef>
                <c:f>Sheet1!$K$53:$K$56</c:f>
                <c:numCache>
                  <c:formatCode>General</c:formatCode>
                  <c:ptCount val="4"/>
                  <c:pt idx="0">
                    <c:v>4.1000000000000002E-2</c:v>
                  </c:pt>
                  <c:pt idx="1">
                    <c:v>4.3999999999999997E-2</c:v>
                  </c:pt>
                  <c:pt idx="2">
                    <c:v>3.9000000000000014E-2</c:v>
                  </c:pt>
                  <c:pt idx="3">
                    <c:v>6.6000000000000003E-2</c:v>
                  </c:pt>
                </c:numCache>
              </c:numRef>
            </c:minus>
          </c:errBars>
          <c:cat>
            <c:strRef>
              <c:f>Feuil1!$A$132:$A$135</c:f>
              <c:strCache>
                <c:ptCount val="4"/>
                <c:pt idx="0">
                  <c:v>7 j</c:v>
                </c:pt>
                <c:pt idx="1">
                  <c:v>14 j</c:v>
                </c:pt>
                <c:pt idx="2">
                  <c:v>21 j</c:v>
                </c:pt>
                <c:pt idx="3">
                  <c:v>28 j</c:v>
                </c:pt>
              </c:strCache>
            </c:strRef>
          </c:cat>
          <c:val>
            <c:numRef>
              <c:f>Feuil1!$D$132:$D$135</c:f>
              <c:numCache>
                <c:formatCode>General</c:formatCode>
                <c:ptCount val="4"/>
                <c:pt idx="0">
                  <c:v>6.9</c:v>
                </c:pt>
                <c:pt idx="1">
                  <c:v>6.57</c:v>
                </c:pt>
                <c:pt idx="2">
                  <c:v>6.06</c:v>
                </c:pt>
                <c:pt idx="3">
                  <c:v>5.79</c:v>
                </c:pt>
              </c:numCache>
            </c:numRef>
          </c:val>
        </c:ser>
        <c:ser>
          <c:idx val="3"/>
          <c:order val="3"/>
          <c:tx>
            <c:strRef>
              <c:f>Feuil1!$E$131</c:f>
              <c:strCache>
                <c:ptCount val="1"/>
                <c:pt idx="0">
                  <c:v>4 (H. Caseine)</c:v>
                </c:pt>
              </c:strCache>
            </c:strRef>
          </c:tx>
          <c:spPr>
            <a:solidFill>
              <a:srgbClr val="990099"/>
            </a:solidFill>
            <a:ln>
              <a:solidFill>
                <a:srgbClr val="990099"/>
              </a:solidFill>
            </a:ln>
          </c:spPr>
          <c:errBars>
            <c:errBarType val="both"/>
            <c:errValType val="cust"/>
            <c:plus>
              <c:numRef>
                <c:f>Sheet1!$L$53:$L$56</c:f>
                <c:numCache>
                  <c:formatCode>General</c:formatCode>
                  <c:ptCount val="4"/>
                  <c:pt idx="0">
                    <c:v>3.3000000000000002E-2</c:v>
                  </c:pt>
                  <c:pt idx="1">
                    <c:v>5.5000000000000014E-2</c:v>
                  </c:pt>
                  <c:pt idx="2">
                    <c:v>5.5000000000000014E-2</c:v>
                  </c:pt>
                  <c:pt idx="3">
                    <c:v>2.4E-2</c:v>
                  </c:pt>
                </c:numCache>
              </c:numRef>
            </c:plus>
            <c:minus>
              <c:numRef>
                <c:f>Sheet1!$L$53:$L$56</c:f>
                <c:numCache>
                  <c:formatCode>General</c:formatCode>
                  <c:ptCount val="4"/>
                  <c:pt idx="0">
                    <c:v>3.3000000000000002E-2</c:v>
                  </c:pt>
                  <c:pt idx="1">
                    <c:v>5.5000000000000014E-2</c:v>
                  </c:pt>
                  <c:pt idx="2">
                    <c:v>5.5000000000000014E-2</c:v>
                  </c:pt>
                  <c:pt idx="3">
                    <c:v>2.4E-2</c:v>
                  </c:pt>
                </c:numCache>
              </c:numRef>
            </c:minus>
          </c:errBars>
          <c:cat>
            <c:strRef>
              <c:f>Feuil1!$A$132:$A$135</c:f>
              <c:strCache>
                <c:ptCount val="4"/>
                <c:pt idx="0">
                  <c:v>7 j</c:v>
                </c:pt>
                <c:pt idx="1">
                  <c:v>14 j</c:v>
                </c:pt>
                <c:pt idx="2">
                  <c:v>21 j</c:v>
                </c:pt>
                <c:pt idx="3">
                  <c:v>28 j</c:v>
                </c:pt>
              </c:strCache>
            </c:strRef>
          </c:cat>
          <c:val>
            <c:numRef>
              <c:f>Feuil1!$E$132:$E$135</c:f>
              <c:numCache>
                <c:formatCode>General</c:formatCode>
                <c:ptCount val="4"/>
                <c:pt idx="0">
                  <c:v>7.35</c:v>
                </c:pt>
                <c:pt idx="1">
                  <c:v>6.92</c:v>
                </c:pt>
                <c:pt idx="2">
                  <c:v>6.67</c:v>
                </c:pt>
                <c:pt idx="3">
                  <c:v>6.41</c:v>
                </c:pt>
              </c:numCache>
            </c:numRef>
          </c:val>
        </c:ser>
        <c:ser>
          <c:idx val="4"/>
          <c:order val="4"/>
          <c:tx>
            <c:strRef>
              <c:f>Feuil1!$F$131</c:f>
              <c:strCache>
                <c:ptCount val="1"/>
                <c:pt idx="0">
                  <c:v>5 (H. Proteine)</c:v>
                </c:pt>
              </c:strCache>
            </c:strRef>
          </c:tx>
          <c:spPr>
            <a:solidFill>
              <a:srgbClr val="FF33CC"/>
            </a:solidFill>
            <a:ln>
              <a:solidFill>
                <a:srgbClr val="FF33CC"/>
              </a:solidFill>
            </a:ln>
          </c:spPr>
          <c:errBars>
            <c:errBarType val="both"/>
            <c:errValType val="cust"/>
            <c:plus>
              <c:numRef>
                <c:f>Sheet1!$M$53:$M$56</c:f>
                <c:numCache>
                  <c:formatCode>General</c:formatCode>
                  <c:ptCount val="4"/>
                  <c:pt idx="0">
                    <c:v>3.3000000000000002E-2</c:v>
                  </c:pt>
                  <c:pt idx="1">
                    <c:v>5.5000000000000014E-2</c:v>
                  </c:pt>
                  <c:pt idx="2">
                    <c:v>2.9000000000000001E-2</c:v>
                  </c:pt>
                  <c:pt idx="3">
                    <c:v>3.2000000000000042E-2</c:v>
                  </c:pt>
                </c:numCache>
              </c:numRef>
            </c:plus>
            <c:minus>
              <c:numRef>
                <c:f>Sheet1!$M$53:$M$56</c:f>
                <c:numCache>
                  <c:formatCode>General</c:formatCode>
                  <c:ptCount val="4"/>
                  <c:pt idx="0">
                    <c:v>3.3000000000000002E-2</c:v>
                  </c:pt>
                  <c:pt idx="1">
                    <c:v>5.5000000000000014E-2</c:v>
                  </c:pt>
                  <c:pt idx="2">
                    <c:v>2.9000000000000001E-2</c:v>
                  </c:pt>
                  <c:pt idx="3">
                    <c:v>3.2000000000000042E-2</c:v>
                  </c:pt>
                </c:numCache>
              </c:numRef>
            </c:minus>
          </c:errBars>
          <c:cat>
            <c:strRef>
              <c:f>Feuil1!$A$132:$A$135</c:f>
              <c:strCache>
                <c:ptCount val="4"/>
                <c:pt idx="0">
                  <c:v>7 j</c:v>
                </c:pt>
                <c:pt idx="1">
                  <c:v>14 j</c:v>
                </c:pt>
                <c:pt idx="2">
                  <c:v>21 j</c:v>
                </c:pt>
                <c:pt idx="3">
                  <c:v>28 j</c:v>
                </c:pt>
              </c:strCache>
            </c:strRef>
          </c:cat>
          <c:val>
            <c:numRef>
              <c:f>Feuil1!$F$132:$F$135</c:f>
              <c:numCache>
                <c:formatCode>General</c:formatCode>
                <c:ptCount val="4"/>
                <c:pt idx="0">
                  <c:v>7.83</c:v>
                </c:pt>
                <c:pt idx="1">
                  <c:v>7.55</c:v>
                </c:pt>
                <c:pt idx="2">
                  <c:v>7.14</c:v>
                </c:pt>
                <c:pt idx="3">
                  <c:v>6.8199999999999985</c:v>
                </c:pt>
              </c:numCache>
            </c:numRef>
          </c:val>
        </c:ser>
        <c:axId val="59387904"/>
        <c:axId val="59389824"/>
      </c:barChart>
      <c:catAx>
        <c:axId val="59387904"/>
        <c:scaling>
          <c:orientation val="minMax"/>
        </c:scaling>
        <c:axPos val="b"/>
        <c:title>
          <c:tx>
            <c:rich>
              <a:bodyPr/>
              <a:lstStyle/>
              <a:p>
                <a:pPr>
                  <a:defRPr/>
                </a:pPr>
                <a:r>
                  <a:rPr lang="en-US">
                    <a:latin typeface="Times New Roman" pitchFamily="18" charset="0"/>
                    <a:cs typeface="Times New Roman" pitchFamily="18" charset="0"/>
                  </a:rPr>
                  <a:t>Entreposage à +4°C en jours</a:t>
                </a:r>
              </a:p>
            </c:rich>
          </c:tx>
          <c:layout>
            <c:manualLayout>
              <c:xMode val="edge"/>
              <c:yMode val="edge"/>
              <c:x val="0.25946611085379034"/>
              <c:y val="0.93140596787103658"/>
            </c:manualLayout>
          </c:layout>
        </c:title>
        <c:numFmt formatCode="General" sourceLinked="1"/>
        <c:tickLblPos val="nextTo"/>
        <c:spPr>
          <a:ln>
            <a:solidFill>
              <a:sysClr val="windowText" lastClr="000000"/>
            </a:solidFill>
          </a:ln>
        </c:spPr>
        <c:txPr>
          <a:bodyPr/>
          <a:lstStyle/>
          <a:p>
            <a:pPr>
              <a:defRPr b="1"/>
            </a:pPr>
            <a:endParaRPr lang="fr-FR"/>
          </a:p>
        </c:txPr>
        <c:crossAx val="59389824"/>
        <c:crosses val="autoZero"/>
        <c:auto val="1"/>
        <c:lblAlgn val="ctr"/>
        <c:lblOffset val="100"/>
      </c:catAx>
      <c:valAx>
        <c:axId val="59389824"/>
        <c:scaling>
          <c:orientation val="minMax"/>
          <c:max val="8"/>
          <c:min val="5"/>
        </c:scaling>
        <c:axPos val="l"/>
        <c:title>
          <c:tx>
            <c:rich>
              <a:bodyPr rot="-5400000" vert="horz"/>
              <a:lstStyle/>
              <a:p>
                <a:pPr>
                  <a:defRPr/>
                </a:pPr>
                <a:r>
                  <a:rPr lang="en-US">
                    <a:latin typeface="Times New Roman" pitchFamily="18" charset="0"/>
                    <a:cs typeface="Times New Roman" pitchFamily="18" charset="0"/>
                  </a:rPr>
                  <a:t>log</a:t>
                </a:r>
                <a:r>
                  <a:rPr lang="en-US"/>
                  <a:t> </a:t>
                </a:r>
                <a:r>
                  <a:rPr lang="en-US">
                    <a:latin typeface="Times New Roman" pitchFamily="18" charset="0"/>
                    <a:cs typeface="Times New Roman" pitchFamily="18" charset="0"/>
                  </a:rPr>
                  <a:t>UFC/ml</a:t>
                </a:r>
              </a:p>
            </c:rich>
          </c:tx>
          <c:layout/>
        </c:title>
        <c:numFmt formatCode="General" sourceLinked="1"/>
        <c:tickLblPos val="nextTo"/>
        <c:spPr>
          <a:ln>
            <a:solidFill>
              <a:sysClr val="windowText" lastClr="000000"/>
            </a:solidFill>
          </a:ln>
        </c:spPr>
        <c:txPr>
          <a:bodyPr/>
          <a:lstStyle/>
          <a:p>
            <a:pPr>
              <a:defRPr b="1"/>
            </a:pPr>
            <a:endParaRPr lang="fr-FR"/>
          </a:p>
        </c:txPr>
        <c:crossAx val="59387904"/>
        <c:crosses val="autoZero"/>
        <c:crossBetween val="between"/>
        <c:majorUnit val="0.5"/>
      </c:valAx>
    </c:plotArea>
    <c:plotVisOnly val="1"/>
    <c:dispBlanksAs val="gap"/>
  </c:chart>
  <c:spPr>
    <a:ln>
      <a:solidFill>
        <a:schemeClr val="bg1"/>
      </a:solidFill>
    </a:ln>
  </c:spPr>
  <c:externalData r:id="rId1"/>
  <c:userShapes r:id="rId2"/>
</c:chartSpace>
</file>

<file path=word/charts/chart62.xml><?xml version="1.0" encoding="utf-8"?>
<c:chartSpace xmlns:c="http://schemas.openxmlformats.org/drawingml/2006/chart" xmlns:a="http://schemas.openxmlformats.org/drawingml/2006/main" xmlns:r="http://schemas.openxmlformats.org/officeDocument/2006/relationships">
  <c:date1904 val="1"/>
  <c:lang val="fr-FR"/>
  <c:style val="26"/>
  <c:chart>
    <c:title>
      <c:tx>
        <c:rich>
          <a:bodyPr/>
          <a:lstStyle/>
          <a:p>
            <a:pPr>
              <a:defRPr/>
            </a:pPr>
            <a:r>
              <a:rPr lang="fr-FR" b="0">
                <a:latin typeface="Times New Roman" pitchFamily="18" charset="0"/>
                <a:cs typeface="Times New Roman" pitchFamily="18" charset="0"/>
              </a:rPr>
              <a:t>D</a:t>
            </a:r>
          </a:p>
        </c:rich>
      </c:tx>
      <c:layout>
        <c:manualLayout>
          <c:xMode val="edge"/>
          <c:yMode val="edge"/>
          <c:x val="1.1709601873536321E-3"/>
          <c:y val="0"/>
        </c:manualLayout>
      </c:layout>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21946025977522099"/>
          <c:y val="0.14483709080338941"/>
          <c:w val="0.73497851230134803"/>
          <c:h val="0.67913927763079063"/>
        </c:manualLayout>
      </c:layout>
      <c:barChart>
        <c:barDir val="col"/>
        <c:grouping val="clustered"/>
        <c:ser>
          <c:idx val="0"/>
          <c:order val="0"/>
          <c:tx>
            <c:strRef>
              <c:f>Sheet2!$B$134</c:f>
              <c:strCache>
                <c:ptCount val="1"/>
                <c:pt idx="0">
                  <c:v>1 (Temoin)</c:v>
                </c:pt>
              </c:strCache>
            </c:strRef>
          </c:tx>
          <c:spPr>
            <a:solidFill>
              <a:srgbClr val="0070C0"/>
            </a:solidFill>
            <a:ln>
              <a:solidFill>
                <a:srgbClr val="0070C0"/>
              </a:solidFill>
            </a:ln>
          </c:spPr>
          <c:errBars>
            <c:errBarType val="both"/>
            <c:errValType val="cust"/>
            <c:plus>
              <c:numRef>
                <c:f>Sheet1!$I$53:$M$53</c:f>
                <c:numCache>
                  <c:formatCode>General</c:formatCode>
                  <c:ptCount val="5"/>
                  <c:pt idx="0">
                    <c:v>5.5000000000000014E-2</c:v>
                  </c:pt>
                  <c:pt idx="1">
                    <c:v>2.7000000000000138E-2</c:v>
                  </c:pt>
                  <c:pt idx="2">
                    <c:v>2.5999999999999999E-2</c:v>
                  </c:pt>
                  <c:pt idx="3">
                    <c:v>6.3E-2</c:v>
                  </c:pt>
                  <c:pt idx="4">
                    <c:v>0.05</c:v>
                  </c:pt>
                </c:numCache>
              </c:numRef>
            </c:plus>
            <c:minus>
              <c:numRef>
                <c:f>Sheet1!$I$53:$M$53</c:f>
                <c:numCache>
                  <c:formatCode>General</c:formatCode>
                  <c:ptCount val="5"/>
                  <c:pt idx="0">
                    <c:v>5.5000000000000014E-2</c:v>
                  </c:pt>
                  <c:pt idx="1">
                    <c:v>2.7000000000000138E-2</c:v>
                  </c:pt>
                  <c:pt idx="2">
                    <c:v>2.5999999999999999E-2</c:v>
                  </c:pt>
                  <c:pt idx="3">
                    <c:v>6.3E-2</c:v>
                  </c:pt>
                  <c:pt idx="4">
                    <c:v>0.05</c:v>
                  </c:pt>
                </c:numCache>
              </c:numRef>
            </c:minus>
          </c:errBars>
          <c:cat>
            <c:strRef>
              <c:f>Sheet2!$A$135:$A$138</c:f>
              <c:strCache>
                <c:ptCount val="4"/>
                <c:pt idx="0">
                  <c:v>7 j</c:v>
                </c:pt>
                <c:pt idx="1">
                  <c:v>14 j</c:v>
                </c:pt>
                <c:pt idx="2">
                  <c:v>21 j</c:v>
                </c:pt>
                <c:pt idx="3">
                  <c:v>28 j</c:v>
                </c:pt>
              </c:strCache>
            </c:strRef>
          </c:cat>
          <c:val>
            <c:numRef>
              <c:f>Sheet2!$B$135:$B$138</c:f>
              <c:numCache>
                <c:formatCode>General</c:formatCode>
                <c:ptCount val="4"/>
                <c:pt idx="0">
                  <c:v>6.55</c:v>
                </c:pt>
                <c:pt idx="1">
                  <c:v>6.06</c:v>
                </c:pt>
                <c:pt idx="2">
                  <c:v>5.78</c:v>
                </c:pt>
                <c:pt idx="3">
                  <c:v>5.51</c:v>
                </c:pt>
              </c:numCache>
            </c:numRef>
          </c:val>
        </c:ser>
        <c:ser>
          <c:idx val="1"/>
          <c:order val="1"/>
          <c:tx>
            <c:strRef>
              <c:f>Sheet2!$C$134</c:f>
              <c:strCache>
                <c:ptCount val="1"/>
                <c:pt idx="0">
                  <c:v>2 (Lactoserum)</c:v>
                </c:pt>
              </c:strCache>
            </c:strRef>
          </c:tx>
          <c:spPr>
            <a:solidFill>
              <a:srgbClr val="FF9900"/>
            </a:solidFill>
            <a:ln>
              <a:solidFill>
                <a:srgbClr val="FF9900"/>
              </a:solidFill>
            </a:ln>
          </c:spPr>
          <c:errBars>
            <c:errBarType val="both"/>
            <c:errValType val="cust"/>
            <c:plus>
              <c:numRef>
                <c:f>Sheet1!$I$54:$M$54</c:f>
                <c:numCache>
                  <c:formatCode>General</c:formatCode>
                  <c:ptCount val="5"/>
                  <c:pt idx="0">
                    <c:v>2.7000000000000138E-2</c:v>
                  </c:pt>
                  <c:pt idx="1">
                    <c:v>4.5000000000000012E-2</c:v>
                  </c:pt>
                  <c:pt idx="2">
                    <c:v>3.3000000000000002E-2</c:v>
                  </c:pt>
                  <c:pt idx="3">
                    <c:v>3.4000000000000002E-2</c:v>
                  </c:pt>
                  <c:pt idx="4">
                    <c:v>6.7000000000000004E-2</c:v>
                  </c:pt>
                </c:numCache>
              </c:numRef>
            </c:plus>
            <c:minus>
              <c:numRef>
                <c:f>Sheet1!$I$54:$M$54</c:f>
                <c:numCache>
                  <c:formatCode>General</c:formatCode>
                  <c:ptCount val="5"/>
                  <c:pt idx="0">
                    <c:v>2.7000000000000138E-2</c:v>
                  </c:pt>
                  <c:pt idx="1">
                    <c:v>4.5000000000000012E-2</c:v>
                  </c:pt>
                  <c:pt idx="2">
                    <c:v>3.3000000000000002E-2</c:v>
                  </c:pt>
                  <c:pt idx="3">
                    <c:v>3.4000000000000002E-2</c:v>
                  </c:pt>
                  <c:pt idx="4">
                    <c:v>6.7000000000000004E-2</c:v>
                  </c:pt>
                </c:numCache>
              </c:numRef>
            </c:minus>
          </c:errBars>
          <c:cat>
            <c:strRef>
              <c:f>Sheet2!$A$135:$A$138</c:f>
              <c:strCache>
                <c:ptCount val="4"/>
                <c:pt idx="0">
                  <c:v>7 j</c:v>
                </c:pt>
                <c:pt idx="1">
                  <c:v>14 j</c:v>
                </c:pt>
                <c:pt idx="2">
                  <c:v>21 j</c:v>
                </c:pt>
                <c:pt idx="3">
                  <c:v>28 j</c:v>
                </c:pt>
              </c:strCache>
            </c:strRef>
          </c:cat>
          <c:val>
            <c:numRef>
              <c:f>Sheet2!$C$135:$C$138</c:f>
              <c:numCache>
                <c:formatCode>General</c:formatCode>
                <c:ptCount val="4"/>
                <c:pt idx="0">
                  <c:v>8.33</c:v>
                </c:pt>
                <c:pt idx="1">
                  <c:v>7.96</c:v>
                </c:pt>
                <c:pt idx="2">
                  <c:v>7.52</c:v>
                </c:pt>
                <c:pt idx="3">
                  <c:v>7.1199999999999966</c:v>
                </c:pt>
              </c:numCache>
            </c:numRef>
          </c:val>
        </c:ser>
        <c:ser>
          <c:idx val="2"/>
          <c:order val="2"/>
          <c:tx>
            <c:strRef>
              <c:f>Sheet2!$D$134</c:f>
              <c:strCache>
                <c:ptCount val="1"/>
                <c:pt idx="0">
                  <c:v>3 (Promilk)</c:v>
                </c:pt>
              </c:strCache>
            </c:strRef>
          </c:tx>
          <c:spPr>
            <a:solidFill>
              <a:srgbClr val="92D050"/>
            </a:solidFill>
            <a:ln>
              <a:solidFill>
                <a:srgbClr val="92D050"/>
              </a:solidFill>
            </a:ln>
          </c:spPr>
          <c:errBars>
            <c:errBarType val="both"/>
            <c:errValType val="cust"/>
            <c:plus>
              <c:numRef>
                <c:f>Sheet1!$I$55:$M$55</c:f>
                <c:numCache>
                  <c:formatCode>General</c:formatCode>
                  <c:ptCount val="5"/>
                  <c:pt idx="0">
                    <c:v>4.8000000000000001E-2</c:v>
                  </c:pt>
                  <c:pt idx="1">
                    <c:v>5.3000000000000012E-2</c:v>
                  </c:pt>
                  <c:pt idx="2">
                    <c:v>3.9000000000000014E-2</c:v>
                  </c:pt>
                  <c:pt idx="3">
                    <c:v>5.5000000000000014E-2</c:v>
                  </c:pt>
                  <c:pt idx="4">
                    <c:v>8.2000000000000003E-2</c:v>
                  </c:pt>
                </c:numCache>
              </c:numRef>
            </c:plus>
            <c:minus>
              <c:numRef>
                <c:f>Sheet1!$I$55:$M$55</c:f>
                <c:numCache>
                  <c:formatCode>General</c:formatCode>
                  <c:ptCount val="5"/>
                  <c:pt idx="0">
                    <c:v>4.8000000000000001E-2</c:v>
                  </c:pt>
                  <c:pt idx="1">
                    <c:v>5.3000000000000012E-2</c:v>
                  </c:pt>
                  <c:pt idx="2">
                    <c:v>3.9000000000000014E-2</c:v>
                  </c:pt>
                  <c:pt idx="3">
                    <c:v>5.5000000000000014E-2</c:v>
                  </c:pt>
                  <c:pt idx="4">
                    <c:v>8.2000000000000003E-2</c:v>
                  </c:pt>
                </c:numCache>
              </c:numRef>
            </c:minus>
          </c:errBars>
          <c:cat>
            <c:strRef>
              <c:f>Sheet2!$A$135:$A$138</c:f>
              <c:strCache>
                <c:ptCount val="4"/>
                <c:pt idx="0">
                  <c:v>7 j</c:v>
                </c:pt>
                <c:pt idx="1">
                  <c:v>14 j</c:v>
                </c:pt>
                <c:pt idx="2">
                  <c:v>21 j</c:v>
                </c:pt>
                <c:pt idx="3">
                  <c:v>28 j</c:v>
                </c:pt>
              </c:strCache>
            </c:strRef>
          </c:cat>
          <c:val>
            <c:numRef>
              <c:f>Sheet2!$D$135:$D$138</c:f>
              <c:numCache>
                <c:formatCode>General</c:formatCode>
                <c:ptCount val="4"/>
                <c:pt idx="0">
                  <c:v>7.2700000000000014</c:v>
                </c:pt>
                <c:pt idx="1">
                  <c:v>6.8599999999999985</c:v>
                </c:pt>
                <c:pt idx="2">
                  <c:v>6.52</c:v>
                </c:pt>
                <c:pt idx="3">
                  <c:v>6.22</c:v>
                </c:pt>
              </c:numCache>
            </c:numRef>
          </c:val>
        </c:ser>
        <c:ser>
          <c:idx val="3"/>
          <c:order val="3"/>
          <c:tx>
            <c:strRef>
              <c:f>Sheet2!$E$134</c:f>
              <c:strCache>
                <c:ptCount val="1"/>
                <c:pt idx="0">
                  <c:v>4 (H. Caseine)</c:v>
                </c:pt>
              </c:strCache>
            </c:strRef>
          </c:tx>
          <c:dPt>
            <c:idx val="1"/>
            <c:spPr>
              <a:solidFill>
                <a:srgbClr val="990099"/>
              </a:solidFill>
              <a:ln>
                <a:solidFill>
                  <a:srgbClr val="990099"/>
                </a:solidFill>
              </a:ln>
            </c:spPr>
          </c:dPt>
          <c:errBars>
            <c:errBarType val="both"/>
            <c:errValType val="cust"/>
            <c:plus>
              <c:numRef>
                <c:f>Sheet1!$I$56:$M$56</c:f>
                <c:numCache>
                  <c:formatCode>General</c:formatCode>
                  <c:ptCount val="5"/>
                  <c:pt idx="0">
                    <c:v>5.6000000000000001E-2</c:v>
                  </c:pt>
                  <c:pt idx="1">
                    <c:v>4.8000000000000001E-2</c:v>
                  </c:pt>
                  <c:pt idx="2">
                    <c:v>2.1000000000000012E-2</c:v>
                  </c:pt>
                  <c:pt idx="3">
                    <c:v>4.1000000000000002E-2</c:v>
                  </c:pt>
                  <c:pt idx="4">
                    <c:v>4.1000000000000002E-2</c:v>
                  </c:pt>
                </c:numCache>
              </c:numRef>
            </c:plus>
            <c:minus>
              <c:numRef>
                <c:f>Sheet1!$I$56:$M$56</c:f>
                <c:numCache>
                  <c:formatCode>General</c:formatCode>
                  <c:ptCount val="5"/>
                  <c:pt idx="0">
                    <c:v>5.6000000000000001E-2</c:v>
                  </c:pt>
                  <c:pt idx="1">
                    <c:v>4.8000000000000001E-2</c:v>
                  </c:pt>
                  <c:pt idx="2">
                    <c:v>2.1000000000000012E-2</c:v>
                  </c:pt>
                  <c:pt idx="3">
                    <c:v>4.1000000000000002E-2</c:v>
                  </c:pt>
                  <c:pt idx="4">
                    <c:v>4.1000000000000002E-2</c:v>
                  </c:pt>
                </c:numCache>
              </c:numRef>
            </c:minus>
          </c:errBars>
          <c:cat>
            <c:strRef>
              <c:f>Sheet2!$A$135:$A$138</c:f>
              <c:strCache>
                <c:ptCount val="4"/>
                <c:pt idx="0">
                  <c:v>7 j</c:v>
                </c:pt>
                <c:pt idx="1">
                  <c:v>14 j</c:v>
                </c:pt>
                <c:pt idx="2">
                  <c:v>21 j</c:v>
                </c:pt>
                <c:pt idx="3">
                  <c:v>28 j</c:v>
                </c:pt>
              </c:strCache>
            </c:strRef>
          </c:cat>
          <c:val>
            <c:numRef>
              <c:f>Sheet2!$E$135:$E$138</c:f>
              <c:numCache>
                <c:formatCode>General</c:formatCode>
                <c:ptCount val="4"/>
                <c:pt idx="0">
                  <c:v>7.52</c:v>
                </c:pt>
                <c:pt idx="1">
                  <c:v>7.24</c:v>
                </c:pt>
                <c:pt idx="2">
                  <c:v>6.95</c:v>
                </c:pt>
                <c:pt idx="3">
                  <c:v>6.72</c:v>
                </c:pt>
              </c:numCache>
            </c:numRef>
          </c:val>
        </c:ser>
        <c:ser>
          <c:idx val="4"/>
          <c:order val="4"/>
          <c:tx>
            <c:strRef>
              <c:f>Sheet2!$F$134</c:f>
              <c:strCache>
                <c:ptCount val="1"/>
                <c:pt idx="0">
                  <c:v>5 (H. Proteine)</c:v>
                </c:pt>
              </c:strCache>
            </c:strRef>
          </c:tx>
          <c:spPr>
            <a:solidFill>
              <a:srgbClr val="FF33CC"/>
            </a:solidFill>
            <a:ln>
              <a:solidFill>
                <a:srgbClr val="FF33CC"/>
              </a:solidFill>
            </a:ln>
          </c:spPr>
          <c:errBars>
            <c:errBarType val="both"/>
            <c:errValType val="cust"/>
            <c:plus>
              <c:numRef>
                <c:f>Sheet2!$M$135:$M$138</c:f>
                <c:numCache>
                  <c:formatCode>General</c:formatCode>
                  <c:ptCount val="4"/>
                  <c:pt idx="0">
                    <c:v>0.05</c:v>
                  </c:pt>
                  <c:pt idx="1">
                    <c:v>6.7000000000000004E-2</c:v>
                  </c:pt>
                  <c:pt idx="2">
                    <c:v>8.2000000000000003E-2</c:v>
                  </c:pt>
                  <c:pt idx="3">
                    <c:v>4.1000000000000002E-2</c:v>
                  </c:pt>
                </c:numCache>
              </c:numRef>
            </c:plus>
            <c:minus>
              <c:numRef>
                <c:f>Sheet2!$M$135:$M$138</c:f>
                <c:numCache>
                  <c:formatCode>General</c:formatCode>
                  <c:ptCount val="4"/>
                  <c:pt idx="0">
                    <c:v>0.05</c:v>
                  </c:pt>
                  <c:pt idx="1">
                    <c:v>6.7000000000000004E-2</c:v>
                  </c:pt>
                  <c:pt idx="2">
                    <c:v>8.2000000000000003E-2</c:v>
                  </c:pt>
                  <c:pt idx="3">
                    <c:v>4.1000000000000002E-2</c:v>
                  </c:pt>
                </c:numCache>
              </c:numRef>
            </c:minus>
          </c:errBars>
          <c:cat>
            <c:strRef>
              <c:f>Sheet2!$A$135:$A$138</c:f>
              <c:strCache>
                <c:ptCount val="4"/>
                <c:pt idx="0">
                  <c:v>7 j</c:v>
                </c:pt>
                <c:pt idx="1">
                  <c:v>14 j</c:v>
                </c:pt>
                <c:pt idx="2">
                  <c:v>21 j</c:v>
                </c:pt>
                <c:pt idx="3">
                  <c:v>28 j</c:v>
                </c:pt>
              </c:strCache>
            </c:strRef>
          </c:cat>
          <c:val>
            <c:numRef>
              <c:f>Sheet2!$F$135:$F$138</c:f>
              <c:numCache>
                <c:formatCode>General</c:formatCode>
                <c:ptCount val="4"/>
                <c:pt idx="0">
                  <c:v>8.26</c:v>
                </c:pt>
                <c:pt idx="1">
                  <c:v>7.94</c:v>
                </c:pt>
                <c:pt idx="2">
                  <c:v>7.55</c:v>
                </c:pt>
                <c:pt idx="3">
                  <c:v>7.1099999999999985</c:v>
                </c:pt>
              </c:numCache>
            </c:numRef>
          </c:val>
        </c:ser>
        <c:axId val="60234752"/>
        <c:axId val="60241024"/>
      </c:barChart>
      <c:catAx>
        <c:axId val="60234752"/>
        <c:scaling>
          <c:orientation val="minMax"/>
        </c:scaling>
        <c:axPos val="b"/>
        <c:title>
          <c:tx>
            <c:rich>
              <a:bodyPr/>
              <a:lstStyle/>
              <a:p>
                <a:pPr>
                  <a:defRPr/>
                </a:pPr>
                <a:r>
                  <a:rPr lang="fr-FR">
                    <a:latin typeface="Times New Roman" pitchFamily="18" charset="0"/>
                    <a:cs typeface="Times New Roman" pitchFamily="18" charset="0"/>
                  </a:rPr>
                  <a:t>Entreposage à +4°C en jours</a:t>
                </a:r>
              </a:p>
            </c:rich>
          </c:tx>
          <c:layout>
            <c:manualLayout>
              <c:xMode val="edge"/>
              <c:yMode val="edge"/>
              <c:x val="0.25599466267833826"/>
              <c:y val="0.93650516812434259"/>
            </c:manualLayout>
          </c:layout>
        </c:title>
        <c:numFmt formatCode="General" sourceLinked="1"/>
        <c:tickLblPos val="nextTo"/>
        <c:spPr>
          <a:ln>
            <a:solidFill>
              <a:sysClr val="windowText" lastClr="000000"/>
            </a:solidFill>
          </a:ln>
        </c:spPr>
        <c:txPr>
          <a:bodyPr rot="0" vert="horz"/>
          <a:lstStyle/>
          <a:p>
            <a:pPr>
              <a:defRPr b="1"/>
            </a:pPr>
            <a:endParaRPr lang="fr-FR"/>
          </a:p>
        </c:txPr>
        <c:crossAx val="60241024"/>
        <c:crosses val="autoZero"/>
        <c:auto val="1"/>
        <c:lblAlgn val="ctr"/>
        <c:lblOffset val="100"/>
      </c:catAx>
      <c:valAx>
        <c:axId val="60241024"/>
        <c:scaling>
          <c:orientation val="minMax"/>
          <c:max val="8.5"/>
          <c:min val="5"/>
        </c:scaling>
        <c:axPos val="l"/>
        <c:title>
          <c:tx>
            <c:rich>
              <a:bodyPr/>
              <a:lstStyle/>
              <a:p>
                <a:pPr>
                  <a:defRPr/>
                </a:pPr>
                <a:r>
                  <a:rPr lang="fr-FR">
                    <a:latin typeface="Times New Roman" pitchFamily="18" charset="0"/>
                    <a:cs typeface="Times New Roman" pitchFamily="18" charset="0"/>
                  </a:rPr>
                  <a:t>log</a:t>
                </a:r>
                <a:r>
                  <a:rPr lang="fr-FR"/>
                  <a:t> </a:t>
                </a:r>
                <a:r>
                  <a:rPr lang="fr-FR">
                    <a:latin typeface="Times New Roman" pitchFamily="18" charset="0"/>
                    <a:cs typeface="Times New Roman" pitchFamily="18" charset="0"/>
                  </a:rPr>
                  <a:t>UFC/ml</a:t>
                </a:r>
              </a:p>
            </c:rich>
          </c:tx>
          <c:layout/>
        </c:title>
        <c:numFmt formatCode="General" sourceLinked="1"/>
        <c:tickLblPos val="nextTo"/>
        <c:spPr>
          <a:ln>
            <a:solidFill>
              <a:sysClr val="windowText" lastClr="000000"/>
            </a:solidFill>
          </a:ln>
        </c:spPr>
        <c:txPr>
          <a:bodyPr rot="0" vert="horz"/>
          <a:lstStyle/>
          <a:p>
            <a:pPr>
              <a:defRPr b="1"/>
            </a:pPr>
            <a:endParaRPr lang="fr-FR"/>
          </a:p>
        </c:txPr>
        <c:crossAx val="60234752"/>
        <c:crosses val="autoZero"/>
        <c:crossBetween val="between"/>
        <c:majorUnit val="0.5"/>
      </c:valAx>
    </c:plotArea>
    <c:plotVisOnly val="1"/>
    <c:dispBlanksAs val="gap"/>
  </c:chart>
  <c:spPr>
    <a:ln>
      <a:solidFill>
        <a:schemeClr val="bg1"/>
      </a:solidFill>
    </a:ln>
  </c:spPr>
  <c:externalData r:id="rId1"/>
  <c:userShapes r:id="rId2"/>
</c:chartSpace>
</file>

<file path=word/charts/chart63.xml><?xml version="1.0" encoding="utf-8"?>
<c:chartSpace xmlns:c="http://schemas.openxmlformats.org/drawingml/2006/chart" xmlns:a="http://schemas.openxmlformats.org/drawingml/2006/main" xmlns:r="http://schemas.openxmlformats.org/officeDocument/2006/relationships">
  <c:date1904 val="1"/>
  <c:lang val="fr-FR"/>
  <c:style val="26"/>
  <c:chart>
    <c:title>
      <c:tx>
        <c:rich>
          <a:bodyPr/>
          <a:lstStyle/>
          <a:p>
            <a:pPr>
              <a:defRPr/>
            </a:pPr>
            <a:r>
              <a:rPr lang="fr-FR" b="0">
                <a:latin typeface="Times New Roman" pitchFamily="18" charset="0"/>
                <a:cs typeface="Times New Roman" pitchFamily="18" charset="0"/>
              </a:rPr>
              <a:t>C</a:t>
            </a:r>
          </a:p>
        </c:rich>
      </c:tx>
      <c:layout>
        <c:manualLayout>
          <c:xMode val="edge"/>
          <c:yMode val="edge"/>
          <c:x val="1.862594651706876E-2"/>
          <c:y val="0"/>
        </c:manualLayout>
      </c:layout>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22748094932242269"/>
          <c:y val="8.2591494245037547E-2"/>
          <c:w val="0.73256892737350465"/>
          <c:h val="0.69536626103555144"/>
        </c:manualLayout>
      </c:layout>
      <c:barChart>
        <c:barDir val="col"/>
        <c:grouping val="clustered"/>
        <c:ser>
          <c:idx val="0"/>
          <c:order val="0"/>
          <c:tx>
            <c:strRef>
              <c:f>Feuil1!$B$142</c:f>
              <c:strCache>
                <c:ptCount val="1"/>
                <c:pt idx="0">
                  <c:v>1 (Temoin)</c:v>
                </c:pt>
              </c:strCache>
            </c:strRef>
          </c:tx>
          <c:spPr>
            <a:solidFill>
              <a:srgbClr val="0070C0"/>
            </a:solidFill>
            <a:ln>
              <a:solidFill>
                <a:srgbClr val="0070C0"/>
              </a:solidFill>
            </a:ln>
          </c:spPr>
          <c:errBars>
            <c:errBarType val="both"/>
            <c:errValType val="cust"/>
            <c:plus>
              <c:numRef>
                <c:f>[1]Sheet1!$I$52:$M$52</c:f>
                <c:numCache>
                  <c:formatCode>General</c:formatCode>
                  <c:ptCount val="5"/>
                  <c:pt idx="0">
                    <c:v>3.500000000000001E-2</c:v>
                  </c:pt>
                  <c:pt idx="1">
                    <c:v>3.5999999999999997E-2</c:v>
                  </c:pt>
                  <c:pt idx="2">
                    <c:v>3.0000000000000002E-2</c:v>
                  </c:pt>
                  <c:pt idx="3">
                    <c:v>5.3999999999999999E-2</c:v>
                  </c:pt>
                  <c:pt idx="4">
                    <c:v>5.3000000000000012E-2</c:v>
                  </c:pt>
                </c:numCache>
              </c:numRef>
            </c:plus>
            <c:minus>
              <c:numRef>
                <c:f>[1]Sheet1!$I$52:$M$52</c:f>
                <c:numCache>
                  <c:formatCode>General</c:formatCode>
                  <c:ptCount val="5"/>
                  <c:pt idx="0">
                    <c:v>3.500000000000001E-2</c:v>
                  </c:pt>
                  <c:pt idx="1">
                    <c:v>3.5999999999999997E-2</c:v>
                  </c:pt>
                  <c:pt idx="2">
                    <c:v>3.0000000000000002E-2</c:v>
                  </c:pt>
                  <c:pt idx="3">
                    <c:v>5.3999999999999999E-2</c:v>
                  </c:pt>
                  <c:pt idx="4">
                    <c:v>5.3000000000000012E-2</c:v>
                  </c:pt>
                </c:numCache>
              </c:numRef>
            </c:minus>
          </c:errBars>
          <c:cat>
            <c:strRef>
              <c:f>Feuil1!$A$143:$A$146</c:f>
              <c:strCache>
                <c:ptCount val="4"/>
                <c:pt idx="0">
                  <c:v>7 j</c:v>
                </c:pt>
                <c:pt idx="1">
                  <c:v>14 j</c:v>
                </c:pt>
                <c:pt idx="2">
                  <c:v>21 j</c:v>
                </c:pt>
                <c:pt idx="3">
                  <c:v>28 j</c:v>
                </c:pt>
              </c:strCache>
            </c:strRef>
          </c:cat>
          <c:val>
            <c:numRef>
              <c:f>Feuil1!$B$143:$B$146</c:f>
              <c:numCache>
                <c:formatCode>General</c:formatCode>
                <c:ptCount val="4"/>
                <c:pt idx="0">
                  <c:v>6.22</c:v>
                </c:pt>
                <c:pt idx="1">
                  <c:v>5.94</c:v>
                </c:pt>
                <c:pt idx="2">
                  <c:v>5.68</c:v>
                </c:pt>
                <c:pt idx="3">
                  <c:v>5.42</c:v>
                </c:pt>
              </c:numCache>
            </c:numRef>
          </c:val>
        </c:ser>
        <c:ser>
          <c:idx val="1"/>
          <c:order val="1"/>
          <c:tx>
            <c:strRef>
              <c:f>Feuil1!$C$142</c:f>
              <c:strCache>
                <c:ptCount val="1"/>
                <c:pt idx="0">
                  <c:v>2 (Lactoserum)</c:v>
                </c:pt>
              </c:strCache>
            </c:strRef>
          </c:tx>
          <c:spPr>
            <a:solidFill>
              <a:srgbClr val="FF9900"/>
            </a:solidFill>
            <a:ln>
              <a:solidFill>
                <a:srgbClr val="FF9900"/>
              </a:solidFill>
            </a:ln>
          </c:spPr>
          <c:errBars>
            <c:errBarType val="both"/>
            <c:errValType val="cust"/>
            <c:plus>
              <c:numRef>
                <c:f>[1]Sheet1!$I$53:$M$53</c:f>
                <c:numCache>
                  <c:formatCode>General</c:formatCode>
                  <c:ptCount val="5"/>
                  <c:pt idx="0">
                    <c:v>6.4000000000000112E-2</c:v>
                  </c:pt>
                  <c:pt idx="1">
                    <c:v>6.1000000000000013E-2</c:v>
                  </c:pt>
                  <c:pt idx="2">
                    <c:v>3.3000000000000002E-2</c:v>
                  </c:pt>
                  <c:pt idx="3">
                    <c:v>4.3000000000000003E-2</c:v>
                  </c:pt>
                  <c:pt idx="4">
                    <c:v>6.8000000000000019E-2</c:v>
                  </c:pt>
                </c:numCache>
              </c:numRef>
            </c:plus>
            <c:minus>
              <c:numRef>
                <c:f>[1]Sheet1!$I$53:$M$53</c:f>
                <c:numCache>
                  <c:formatCode>General</c:formatCode>
                  <c:ptCount val="5"/>
                  <c:pt idx="0">
                    <c:v>6.4000000000000112E-2</c:v>
                  </c:pt>
                  <c:pt idx="1">
                    <c:v>6.1000000000000013E-2</c:v>
                  </c:pt>
                  <c:pt idx="2">
                    <c:v>3.3000000000000002E-2</c:v>
                  </c:pt>
                  <c:pt idx="3">
                    <c:v>4.3000000000000003E-2</c:v>
                  </c:pt>
                  <c:pt idx="4">
                    <c:v>6.8000000000000019E-2</c:v>
                  </c:pt>
                </c:numCache>
              </c:numRef>
            </c:minus>
          </c:errBars>
          <c:cat>
            <c:strRef>
              <c:f>Feuil1!$A$143:$A$146</c:f>
              <c:strCache>
                <c:ptCount val="4"/>
                <c:pt idx="0">
                  <c:v>7 j</c:v>
                </c:pt>
                <c:pt idx="1">
                  <c:v>14 j</c:v>
                </c:pt>
                <c:pt idx="2">
                  <c:v>21 j</c:v>
                </c:pt>
                <c:pt idx="3">
                  <c:v>28 j</c:v>
                </c:pt>
              </c:strCache>
            </c:strRef>
          </c:cat>
          <c:val>
            <c:numRef>
              <c:f>Feuil1!$C$143:$C$146</c:f>
              <c:numCache>
                <c:formatCode>General</c:formatCode>
                <c:ptCount val="4"/>
                <c:pt idx="0">
                  <c:v>8.120000000000001</c:v>
                </c:pt>
                <c:pt idx="1">
                  <c:v>7.8</c:v>
                </c:pt>
                <c:pt idx="2">
                  <c:v>7.56</c:v>
                </c:pt>
                <c:pt idx="3">
                  <c:v>7.2700000000000014</c:v>
                </c:pt>
              </c:numCache>
            </c:numRef>
          </c:val>
        </c:ser>
        <c:ser>
          <c:idx val="2"/>
          <c:order val="2"/>
          <c:tx>
            <c:strRef>
              <c:f>Feuil1!$D$142</c:f>
              <c:strCache>
                <c:ptCount val="1"/>
                <c:pt idx="0">
                  <c:v>3 (Promilk)</c:v>
                </c:pt>
              </c:strCache>
            </c:strRef>
          </c:tx>
          <c:spPr>
            <a:solidFill>
              <a:srgbClr val="92D050"/>
            </a:solidFill>
            <a:ln>
              <a:solidFill>
                <a:srgbClr val="92D050"/>
              </a:solidFill>
            </a:ln>
          </c:spPr>
          <c:errBars>
            <c:errBarType val="both"/>
            <c:errValType val="cust"/>
            <c:plus>
              <c:numRef>
                <c:f>[1]Sheet1!$I$54:$M$54</c:f>
                <c:numCache>
                  <c:formatCode>General</c:formatCode>
                  <c:ptCount val="5"/>
                  <c:pt idx="0">
                    <c:v>0.05</c:v>
                  </c:pt>
                  <c:pt idx="1">
                    <c:v>3.6999999999999998E-2</c:v>
                  </c:pt>
                  <c:pt idx="2">
                    <c:v>2.1999999999999999E-2</c:v>
                  </c:pt>
                  <c:pt idx="3">
                    <c:v>6.3E-2</c:v>
                  </c:pt>
                  <c:pt idx="4">
                    <c:v>6.6000000000000003E-2</c:v>
                  </c:pt>
                </c:numCache>
              </c:numRef>
            </c:plus>
            <c:minus>
              <c:numRef>
                <c:f>[1]Sheet1!$I$54:$M$54</c:f>
                <c:numCache>
                  <c:formatCode>General</c:formatCode>
                  <c:ptCount val="5"/>
                  <c:pt idx="0">
                    <c:v>0.05</c:v>
                  </c:pt>
                  <c:pt idx="1">
                    <c:v>3.6999999999999998E-2</c:v>
                  </c:pt>
                  <c:pt idx="2">
                    <c:v>2.1999999999999999E-2</c:v>
                  </c:pt>
                  <c:pt idx="3">
                    <c:v>6.3E-2</c:v>
                  </c:pt>
                  <c:pt idx="4">
                    <c:v>6.6000000000000003E-2</c:v>
                  </c:pt>
                </c:numCache>
              </c:numRef>
            </c:minus>
          </c:errBars>
          <c:cat>
            <c:strRef>
              <c:f>Feuil1!$A$143:$A$146</c:f>
              <c:strCache>
                <c:ptCount val="4"/>
                <c:pt idx="0">
                  <c:v>7 j</c:v>
                </c:pt>
                <c:pt idx="1">
                  <c:v>14 j</c:v>
                </c:pt>
                <c:pt idx="2">
                  <c:v>21 j</c:v>
                </c:pt>
                <c:pt idx="3">
                  <c:v>28 j</c:v>
                </c:pt>
              </c:strCache>
            </c:strRef>
          </c:cat>
          <c:val>
            <c:numRef>
              <c:f>Feuil1!$D$143:$D$146</c:f>
              <c:numCache>
                <c:formatCode>General</c:formatCode>
                <c:ptCount val="4"/>
                <c:pt idx="0">
                  <c:v>7.21</c:v>
                </c:pt>
                <c:pt idx="1">
                  <c:v>6.9300000000000024</c:v>
                </c:pt>
                <c:pt idx="2">
                  <c:v>6.7</c:v>
                </c:pt>
                <c:pt idx="3">
                  <c:v>6.3599999999999985</c:v>
                </c:pt>
              </c:numCache>
            </c:numRef>
          </c:val>
        </c:ser>
        <c:ser>
          <c:idx val="3"/>
          <c:order val="3"/>
          <c:tx>
            <c:strRef>
              <c:f>Feuil1!$E$142</c:f>
              <c:strCache>
                <c:ptCount val="1"/>
                <c:pt idx="0">
                  <c:v>4 (H. Caseine)</c:v>
                </c:pt>
              </c:strCache>
            </c:strRef>
          </c:tx>
          <c:spPr>
            <a:solidFill>
              <a:srgbClr val="990099"/>
            </a:solidFill>
            <a:ln>
              <a:solidFill>
                <a:srgbClr val="990099"/>
              </a:solidFill>
            </a:ln>
          </c:spPr>
          <c:errBars>
            <c:errBarType val="both"/>
            <c:errValType val="cust"/>
            <c:plus>
              <c:numRef>
                <c:f>[1]Sheet1!$I$55:$M$55</c:f>
                <c:numCache>
                  <c:formatCode>General</c:formatCode>
                  <c:ptCount val="5"/>
                  <c:pt idx="0">
                    <c:v>3.1000000000000052E-2</c:v>
                  </c:pt>
                  <c:pt idx="1">
                    <c:v>3.2000000000000042E-2</c:v>
                  </c:pt>
                  <c:pt idx="2">
                    <c:v>2.1999999999999999E-2</c:v>
                  </c:pt>
                  <c:pt idx="3">
                    <c:v>6.0000000000000032E-2</c:v>
                  </c:pt>
                  <c:pt idx="4">
                    <c:v>5.5000000000000014E-2</c:v>
                  </c:pt>
                </c:numCache>
              </c:numRef>
            </c:plus>
            <c:minus>
              <c:numRef>
                <c:f>[1]Sheet1!$I$55:$M$55</c:f>
                <c:numCache>
                  <c:formatCode>General</c:formatCode>
                  <c:ptCount val="5"/>
                  <c:pt idx="0">
                    <c:v>3.1000000000000052E-2</c:v>
                  </c:pt>
                  <c:pt idx="1">
                    <c:v>3.2000000000000042E-2</c:v>
                  </c:pt>
                  <c:pt idx="2">
                    <c:v>2.1999999999999999E-2</c:v>
                  </c:pt>
                  <c:pt idx="3">
                    <c:v>6.0000000000000032E-2</c:v>
                  </c:pt>
                  <c:pt idx="4">
                    <c:v>5.5000000000000014E-2</c:v>
                  </c:pt>
                </c:numCache>
              </c:numRef>
            </c:minus>
          </c:errBars>
          <c:cat>
            <c:strRef>
              <c:f>Feuil1!$A$143:$A$146</c:f>
              <c:strCache>
                <c:ptCount val="4"/>
                <c:pt idx="0">
                  <c:v>7 j</c:v>
                </c:pt>
                <c:pt idx="1">
                  <c:v>14 j</c:v>
                </c:pt>
                <c:pt idx="2">
                  <c:v>21 j</c:v>
                </c:pt>
                <c:pt idx="3">
                  <c:v>28 j</c:v>
                </c:pt>
              </c:strCache>
            </c:strRef>
          </c:cat>
          <c:val>
            <c:numRef>
              <c:f>Feuil1!$E$143:$E$146</c:f>
              <c:numCache>
                <c:formatCode>General</c:formatCode>
                <c:ptCount val="4"/>
                <c:pt idx="0">
                  <c:v>7.6199999999999966</c:v>
                </c:pt>
                <c:pt idx="1">
                  <c:v>7.3599999999999985</c:v>
                </c:pt>
                <c:pt idx="2">
                  <c:v>7.01</c:v>
                </c:pt>
                <c:pt idx="3">
                  <c:v>6.6099999999999985</c:v>
                </c:pt>
              </c:numCache>
            </c:numRef>
          </c:val>
        </c:ser>
        <c:ser>
          <c:idx val="4"/>
          <c:order val="4"/>
          <c:tx>
            <c:strRef>
              <c:f>Feuil1!$F$142</c:f>
              <c:strCache>
                <c:ptCount val="1"/>
                <c:pt idx="0">
                  <c:v>5 (H. Proteine)</c:v>
                </c:pt>
              </c:strCache>
            </c:strRef>
          </c:tx>
          <c:spPr>
            <a:solidFill>
              <a:srgbClr val="FF33CC"/>
            </a:solidFill>
            <a:ln>
              <a:solidFill>
                <a:srgbClr val="FF33CC"/>
              </a:solidFill>
            </a:ln>
          </c:spPr>
          <c:errBars>
            <c:errBarType val="both"/>
            <c:errValType val="cust"/>
            <c:plus>
              <c:numRef>
                <c:f>Feuil1!$M$143:$M$146</c:f>
                <c:numCache>
                  <c:formatCode>General</c:formatCode>
                  <c:ptCount val="4"/>
                  <c:pt idx="0">
                    <c:v>5.3000000000000012E-2</c:v>
                  </c:pt>
                  <c:pt idx="1">
                    <c:v>6.8000000000000019E-2</c:v>
                  </c:pt>
                  <c:pt idx="2">
                    <c:v>6.6000000000000003E-2</c:v>
                  </c:pt>
                  <c:pt idx="3">
                    <c:v>5.5000000000000014E-2</c:v>
                  </c:pt>
                </c:numCache>
              </c:numRef>
            </c:plus>
            <c:minus>
              <c:numRef>
                <c:f>Feuil1!$M$143:$M$146</c:f>
                <c:numCache>
                  <c:formatCode>General</c:formatCode>
                  <c:ptCount val="4"/>
                  <c:pt idx="0">
                    <c:v>5.3000000000000012E-2</c:v>
                  </c:pt>
                  <c:pt idx="1">
                    <c:v>6.8000000000000019E-2</c:v>
                  </c:pt>
                  <c:pt idx="2">
                    <c:v>6.6000000000000003E-2</c:v>
                  </c:pt>
                  <c:pt idx="3">
                    <c:v>5.5000000000000014E-2</c:v>
                  </c:pt>
                </c:numCache>
              </c:numRef>
            </c:minus>
          </c:errBars>
          <c:cat>
            <c:strRef>
              <c:f>Feuil1!$A$143:$A$146</c:f>
              <c:strCache>
                <c:ptCount val="4"/>
                <c:pt idx="0">
                  <c:v>7 j</c:v>
                </c:pt>
                <c:pt idx="1">
                  <c:v>14 j</c:v>
                </c:pt>
                <c:pt idx="2">
                  <c:v>21 j</c:v>
                </c:pt>
                <c:pt idx="3">
                  <c:v>28 j</c:v>
                </c:pt>
              </c:strCache>
            </c:strRef>
          </c:cat>
          <c:val>
            <c:numRef>
              <c:f>Feuil1!$F$143:$F$146</c:f>
              <c:numCache>
                <c:formatCode>General</c:formatCode>
                <c:ptCount val="4"/>
                <c:pt idx="0">
                  <c:v>8.44</c:v>
                </c:pt>
                <c:pt idx="1">
                  <c:v>8.120000000000001</c:v>
                </c:pt>
                <c:pt idx="2">
                  <c:v>7.88</c:v>
                </c:pt>
                <c:pt idx="3">
                  <c:v>7.63</c:v>
                </c:pt>
              </c:numCache>
            </c:numRef>
          </c:val>
        </c:ser>
        <c:axId val="61216640"/>
        <c:axId val="61222912"/>
      </c:barChart>
      <c:catAx>
        <c:axId val="61216640"/>
        <c:scaling>
          <c:orientation val="minMax"/>
        </c:scaling>
        <c:axPos val="b"/>
        <c:title>
          <c:tx>
            <c:rich>
              <a:bodyPr/>
              <a:lstStyle/>
              <a:p>
                <a:pPr>
                  <a:defRPr/>
                </a:pPr>
                <a:r>
                  <a:rPr lang="en-US">
                    <a:latin typeface="Times New Roman" pitchFamily="18" charset="0"/>
                    <a:cs typeface="Times New Roman" pitchFamily="18" charset="0"/>
                  </a:rPr>
                  <a:t>Entreposage à +4°C en jours</a:t>
                </a:r>
              </a:p>
            </c:rich>
          </c:tx>
          <c:layout>
            <c:manualLayout>
              <c:xMode val="edge"/>
              <c:yMode val="edge"/>
              <c:x val="0.28590039663572431"/>
              <c:y val="0.9182462992125987"/>
            </c:manualLayout>
          </c:layout>
        </c:title>
        <c:numFmt formatCode="General" sourceLinked="1"/>
        <c:tickLblPos val="nextTo"/>
        <c:spPr>
          <a:ln>
            <a:solidFill>
              <a:sysClr val="windowText" lastClr="000000"/>
            </a:solidFill>
          </a:ln>
        </c:spPr>
        <c:txPr>
          <a:bodyPr/>
          <a:lstStyle/>
          <a:p>
            <a:pPr>
              <a:defRPr b="1"/>
            </a:pPr>
            <a:endParaRPr lang="fr-FR"/>
          </a:p>
        </c:txPr>
        <c:crossAx val="61222912"/>
        <c:crosses val="autoZero"/>
        <c:auto val="1"/>
        <c:lblAlgn val="ctr"/>
        <c:lblOffset val="100"/>
      </c:catAx>
      <c:valAx>
        <c:axId val="61222912"/>
        <c:scaling>
          <c:orientation val="minMax"/>
          <c:max val="9"/>
          <c:min val="5"/>
        </c:scaling>
        <c:axPos val="l"/>
        <c:title>
          <c:tx>
            <c:rich>
              <a:bodyPr rot="-5400000" vert="horz"/>
              <a:lstStyle/>
              <a:p>
                <a:pPr>
                  <a:defRPr/>
                </a:pPr>
                <a:r>
                  <a:rPr lang="en-US">
                    <a:latin typeface="Times New Roman" pitchFamily="18" charset="0"/>
                    <a:cs typeface="Times New Roman" pitchFamily="18" charset="0"/>
                  </a:rPr>
                  <a:t>log</a:t>
                </a:r>
                <a:r>
                  <a:rPr lang="en-US"/>
                  <a:t> </a:t>
                </a:r>
                <a:r>
                  <a:rPr lang="en-US">
                    <a:latin typeface="Times New Roman" pitchFamily="18" charset="0"/>
                    <a:cs typeface="Times New Roman" pitchFamily="18" charset="0"/>
                  </a:rPr>
                  <a:t>UFC/ml</a:t>
                </a:r>
              </a:p>
            </c:rich>
          </c:tx>
          <c:layout/>
        </c:title>
        <c:numFmt formatCode="General" sourceLinked="1"/>
        <c:tickLblPos val="nextTo"/>
        <c:spPr>
          <a:ln>
            <a:solidFill>
              <a:sysClr val="windowText" lastClr="000000"/>
            </a:solidFill>
          </a:ln>
        </c:spPr>
        <c:txPr>
          <a:bodyPr/>
          <a:lstStyle/>
          <a:p>
            <a:pPr>
              <a:defRPr b="1"/>
            </a:pPr>
            <a:endParaRPr lang="fr-FR"/>
          </a:p>
        </c:txPr>
        <c:crossAx val="61216640"/>
        <c:crosses val="autoZero"/>
        <c:crossBetween val="between"/>
        <c:majorUnit val="0.5"/>
      </c:valAx>
    </c:plotArea>
    <c:plotVisOnly val="1"/>
    <c:dispBlanksAs val="gap"/>
  </c:chart>
  <c:spPr>
    <a:ln>
      <a:solidFill>
        <a:schemeClr val="bg1"/>
      </a:solidFill>
    </a:ln>
  </c:spPr>
  <c:externalData r:id="rId1"/>
  <c:userShapes r:id="rId2"/>
</c:chartSpace>
</file>

<file path=word/charts/chart64.xml><?xml version="1.0" encoding="utf-8"?>
<c:chartSpace xmlns:c="http://schemas.openxmlformats.org/drawingml/2006/chart" xmlns:a="http://schemas.openxmlformats.org/drawingml/2006/main" xmlns:r="http://schemas.openxmlformats.org/officeDocument/2006/relationships">
  <c:date1904 val="1"/>
  <c:lang val="fr-FR"/>
  <c:style val="26"/>
  <c:chart>
    <c:title>
      <c:tx>
        <c:rich>
          <a:bodyPr/>
          <a:lstStyle/>
          <a:p>
            <a:pPr>
              <a:defRPr/>
            </a:pPr>
            <a:r>
              <a:rPr lang="fr-FR" b="0">
                <a:latin typeface="Times New Roman" pitchFamily="18" charset="0"/>
                <a:cs typeface="Times New Roman" pitchFamily="18" charset="0"/>
              </a:rPr>
              <a:t>B</a:t>
            </a:r>
          </a:p>
        </c:rich>
      </c:tx>
      <c:layout>
        <c:manualLayout>
          <c:xMode val="edge"/>
          <c:yMode val="edge"/>
          <c:x val="4.9105187377263314E-3"/>
          <c:y val="1.1872959335114331E-2"/>
        </c:manualLayout>
      </c:layout>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21317431257887345"/>
          <c:y val="0.10155024613339642"/>
          <c:w val="0.71882427347184574"/>
          <c:h val="0.7110336541265676"/>
        </c:manualLayout>
      </c:layout>
      <c:barChart>
        <c:barDir val="col"/>
        <c:grouping val="clustered"/>
        <c:ser>
          <c:idx val="0"/>
          <c:order val="0"/>
          <c:tx>
            <c:strRef>
              <c:f>Sheet2!$B$138</c:f>
              <c:strCache>
                <c:ptCount val="1"/>
                <c:pt idx="0">
                  <c:v>1 (Temoin)</c:v>
                </c:pt>
              </c:strCache>
            </c:strRef>
          </c:tx>
          <c:spPr>
            <a:solidFill>
              <a:srgbClr val="0070C0"/>
            </a:solidFill>
            <a:ln>
              <a:solidFill>
                <a:srgbClr val="0070C0"/>
              </a:solidFill>
            </a:ln>
          </c:spPr>
          <c:errBars>
            <c:errBarType val="both"/>
            <c:errValType val="cust"/>
            <c:plus>
              <c:numRef>
                <c:f>Sheet1!$I$53:$I$56</c:f>
                <c:numCache>
                  <c:formatCode>General</c:formatCode>
                  <c:ptCount val="4"/>
                  <c:pt idx="0">
                    <c:v>3.3000000000000002E-2</c:v>
                  </c:pt>
                  <c:pt idx="1">
                    <c:v>3.500000000000001E-2</c:v>
                  </c:pt>
                  <c:pt idx="2">
                    <c:v>2.0000000000000011E-2</c:v>
                  </c:pt>
                  <c:pt idx="3">
                    <c:v>3.1000000000000052E-2</c:v>
                  </c:pt>
                </c:numCache>
              </c:numRef>
            </c:plus>
            <c:minus>
              <c:numRef>
                <c:f>Sheet1!$I$53:$I$56</c:f>
                <c:numCache>
                  <c:formatCode>General</c:formatCode>
                  <c:ptCount val="4"/>
                  <c:pt idx="0">
                    <c:v>3.3000000000000002E-2</c:v>
                  </c:pt>
                  <c:pt idx="1">
                    <c:v>3.500000000000001E-2</c:v>
                  </c:pt>
                  <c:pt idx="2">
                    <c:v>2.0000000000000011E-2</c:v>
                  </c:pt>
                  <c:pt idx="3">
                    <c:v>3.1000000000000052E-2</c:v>
                  </c:pt>
                </c:numCache>
              </c:numRef>
            </c:minus>
          </c:errBars>
          <c:cat>
            <c:strRef>
              <c:f>Sheet2!$A$139:$A$142</c:f>
              <c:strCache>
                <c:ptCount val="4"/>
                <c:pt idx="0">
                  <c:v>7 j</c:v>
                </c:pt>
                <c:pt idx="1">
                  <c:v>14 j</c:v>
                </c:pt>
                <c:pt idx="2">
                  <c:v>21 j</c:v>
                </c:pt>
                <c:pt idx="3">
                  <c:v>28 j</c:v>
                </c:pt>
              </c:strCache>
            </c:strRef>
          </c:cat>
          <c:val>
            <c:numRef>
              <c:f>Sheet2!$B$139:$B$142</c:f>
              <c:numCache>
                <c:formatCode>General</c:formatCode>
                <c:ptCount val="4"/>
                <c:pt idx="0">
                  <c:v>6.96</c:v>
                </c:pt>
                <c:pt idx="1">
                  <c:v>6.7</c:v>
                </c:pt>
                <c:pt idx="2">
                  <c:v>6.4700000000000024</c:v>
                </c:pt>
                <c:pt idx="3">
                  <c:v>6.1499999999999995</c:v>
                </c:pt>
              </c:numCache>
            </c:numRef>
          </c:val>
        </c:ser>
        <c:ser>
          <c:idx val="1"/>
          <c:order val="1"/>
          <c:tx>
            <c:strRef>
              <c:f>Sheet2!$C$138</c:f>
              <c:strCache>
                <c:ptCount val="1"/>
                <c:pt idx="0">
                  <c:v>2 (Lactoserum)</c:v>
                </c:pt>
              </c:strCache>
            </c:strRef>
          </c:tx>
          <c:spPr>
            <a:solidFill>
              <a:srgbClr val="FF9900"/>
            </a:solidFill>
            <a:ln>
              <a:solidFill>
                <a:srgbClr val="FF9900"/>
              </a:solidFill>
            </a:ln>
          </c:spPr>
          <c:errBars>
            <c:errBarType val="both"/>
            <c:errValType val="cust"/>
            <c:plus>
              <c:numRef>
                <c:f>Sheet1!$J$53:$J$56</c:f>
                <c:numCache>
                  <c:formatCode>General</c:formatCode>
                  <c:ptCount val="4"/>
                  <c:pt idx="0">
                    <c:v>2.5999999999999999E-2</c:v>
                  </c:pt>
                  <c:pt idx="1">
                    <c:v>2.9000000000000001E-2</c:v>
                  </c:pt>
                  <c:pt idx="2">
                    <c:v>4.9000000000000113E-2</c:v>
                  </c:pt>
                  <c:pt idx="3">
                    <c:v>2.7000000000000138E-2</c:v>
                  </c:pt>
                </c:numCache>
              </c:numRef>
            </c:plus>
            <c:minus>
              <c:numRef>
                <c:f>Sheet1!$J$53:$J$56</c:f>
                <c:numCache>
                  <c:formatCode>General</c:formatCode>
                  <c:ptCount val="4"/>
                  <c:pt idx="0">
                    <c:v>2.5999999999999999E-2</c:v>
                  </c:pt>
                  <c:pt idx="1">
                    <c:v>2.9000000000000001E-2</c:v>
                  </c:pt>
                  <c:pt idx="2">
                    <c:v>4.9000000000000113E-2</c:v>
                  </c:pt>
                  <c:pt idx="3">
                    <c:v>2.7000000000000138E-2</c:v>
                  </c:pt>
                </c:numCache>
              </c:numRef>
            </c:minus>
          </c:errBars>
          <c:cat>
            <c:strRef>
              <c:f>Sheet2!$A$139:$A$142</c:f>
              <c:strCache>
                <c:ptCount val="4"/>
                <c:pt idx="0">
                  <c:v>7 j</c:v>
                </c:pt>
                <c:pt idx="1">
                  <c:v>14 j</c:v>
                </c:pt>
                <c:pt idx="2">
                  <c:v>21 j</c:v>
                </c:pt>
                <c:pt idx="3">
                  <c:v>28 j</c:v>
                </c:pt>
              </c:strCache>
            </c:strRef>
          </c:cat>
          <c:val>
            <c:numRef>
              <c:f>Sheet2!$C$139:$C$142</c:f>
              <c:numCache>
                <c:formatCode>General</c:formatCode>
                <c:ptCount val="4"/>
                <c:pt idx="0">
                  <c:v>8.620000000000001</c:v>
                </c:pt>
                <c:pt idx="1">
                  <c:v>8.3800000000000008</c:v>
                </c:pt>
                <c:pt idx="2">
                  <c:v>8.06</c:v>
                </c:pt>
                <c:pt idx="3">
                  <c:v>7.74</c:v>
                </c:pt>
              </c:numCache>
            </c:numRef>
          </c:val>
        </c:ser>
        <c:ser>
          <c:idx val="2"/>
          <c:order val="2"/>
          <c:tx>
            <c:strRef>
              <c:f>Sheet2!$D$138</c:f>
              <c:strCache>
                <c:ptCount val="1"/>
                <c:pt idx="0">
                  <c:v>3 (Promilk)</c:v>
                </c:pt>
              </c:strCache>
            </c:strRef>
          </c:tx>
          <c:spPr>
            <a:solidFill>
              <a:srgbClr val="92D050"/>
            </a:solidFill>
            <a:ln>
              <a:solidFill>
                <a:srgbClr val="92D050"/>
              </a:solidFill>
            </a:ln>
          </c:spPr>
          <c:errBars>
            <c:errBarType val="both"/>
            <c:errValType val="cust"/>
            <c:plus>
              <c:numRef>
                <c:f>Sheet1!$K$53:$K$56</c:f>
                <c:numCache>
                  <c:formatCode>General</c:formatCode>
                  <c:ptCount val="4"/>
                  <c:pt idx="0">
                    <c:v>4.8000000000000001E-2</c:v>
                  </c:pt>
                  <c:pt idx="1">
                    <c:v>4.7000000000000014E-2</c:v>
                  </c:pt>
                  <c:pt idx="2">
                    <c:v>3.3000000000000002E-2</c:v>
                  </c:pt>
                  <c:pt idx="3">
                    <c:v>4.2000000000000023E-2</c:v>
                  </c:pt>
                </c:numCache>
              </c:numRef>
            </c:plus>
            <c:minus>
              <c:numRef>
                <c:f>Sheet1!$K$53:$K$56</c:f>
                <c:numCache>
                  <c:formatCode>General</c:formatCode>
                  <c:ptCount val="4"/>
                  <c:pt idx="0">
                    <c:v>4.8000000000000001E-2</c:v>
                  </c:pt>
                  <c:pt idx="1">
                    <c:v>4.7000000000000014E-2</c:v>
                  </c:pt>
                  <c:pt idx="2">
                    <c:v>3.3000000000000002E-2</c:v>
                  </c:pt>
                  <c:pt idx="3">
                    <c:v>4.2000000000000023E-2</c:v>
                  </c:pt>
                </c:numCache>
              </c:numRef>
            </c:minus>
          </c:errBars>
          <c:cat>
            <c:strRef>
              <c:f>Sheet2!$A$139:$A$142</c:f>
              <c:strCache>
                <c:ptCount val="4"/>
                <c:pt idx="0">
                  <c:v>7 j</c:v>
                </c:pt>
                <c:pt idx="1">
                  <c:v>14 j</c:v>
                </c:pt>
                <c:pt idx="2">
                  <c:v>21 j</c:v>
                </c:pt>
                <c:pt idx="3">
                  <c:v>28 j</c:v>
                </c:pt>
              </c:strCache>
            </c:strRef>
          </c:cat>
          <c:val>
            <c:numRef>
              <c:f>Sheet2!$D$139:$D$142</c:f>
              <c:numCache>
                <c:formatCode>General</c:formatCode>
                <c:ptCount val="4"/>
                <c:pt idx="0">
                  <c:v>7.6499999999999995</c:v>
                </c:pt>
                <c:pt idx="1">
                  <c:v>7.1599999999999975</c:v>
                </c:pt>
                <c:pt idx="2">
                  <c:v>6.96</c:v>
                </c:pt>
                <c:pt idx="3">
                  <c:v>6.6199999999999966</c:v>
                </c:pt>
              </c:numCache>
            </c:numRef>
          </c:val>
        </c:ser>
        <c:ser>
          <c:idx val="3"/>
          <c:order val="3"/>
          <c:tx>
            <c:strRef>
              <c:f>Sheet2!$E$138</c:f>
              <c:strCache>
                <c:ptCount val="1"/>
                <c:pt idx="0">
                  <c:v>4 (H. Caseine)</c:v>
                </c:pt>
              </c:strCache>
            </c:strRef>
          </c:tx>
          <c:spPr>
            <a:solidFill>
              <a:srgbClr val="990099"/>
            </a:solidFill>
            <a:ln>
              <a:solidFill>
                <a:srgbClr val="990099"/>
              </a:solidFill>
            </a:ln>
          </c:spPr>
          <c:errBars>
            <c:errBarType val="both"/>
            <c:errValType val="cust"/>
            <c:plus>
              <c:numRef>
                <c:f>Sheet1!$L$53:$L$56</c:f>
                <c:numCache>
                  <c:formatCode>General</c:formatCode>
                  <c:ptCount val="4"/>
                  <c:pt idx="0">
                    <c:v>3.0000000000000002E-2</c:v>
                  </c:pt>
                  <c:pt idx="1">
                    <c:v>5.3000000000000012E-2</c:v>
                  </c:pt>
                  <c:pt idx="2">
                    <c:v>4.7000000000000014E-2</c:v>
                  </c:pt>
                  <c:pt idx="3">
                    <c:v>2.7000000000000138E-2</c:v>
                  </c:pt>
                </c:numCache>
              </c:numRef>
            </c:plus>
            <c:minus>
              <c:numRef>
                <c:f>Sheet1!$L$53:$L$56</c:f>
                <c:numCache>
                  <c:formatCode>General</c:formatCode>
                  <c:ptCount val="4"/>
                  <c:pt idx="0">
                    <c:v>3.0000000000000002E-2</c:v>
                  </c:pt>
                  <c:pt idx="1">
                    <c:v>5.3000000000000012E-2</c:v>
                  </c:pt>
                  <c:pt idx="2">
                    <c:v>4.7000000000000014E-2</c:v>
                  </c:pt>
                  <c:pt idx="3">
                    <c:v>2.7000000000000138E-2</c:v>
                  </c:pt>
                </c:numCache>
              </c:numRef>
            </c:minus>
          </c:errBars>
          <c:cat>
            <c:strRef>
              <c:f>Sheet2!$A$139:$A$142</c:f>
              <c:strCache>
                <c:ptCount val="4"/>
                <c:pt idx="0">
                  <c:v>7 j</c:v>
                </c:pt>
                <c:pt idx="1">
                  <c:v>14 j</c:v>
                </c:pt>
                <c:pt idx="2">
                  <c:v>21 j</c:v>
                </c:pt>
                <c:pt idx="3">
                  <c:v>28 j</c:v>
                </c:pt>
              </c:strCache>
            </c:strRef>
          </c:cat>
          <c:val>
            <c:numRef>
              <c:f>Sheet2!$E$139:$E$142</c:f>
              <c:numCache>
                <c:formatCode>General</c:formatCode>
                <c:ptCount val="4"/>
                <c:pt idx="0">
                  <c:v>8.3000000000000007</c:v>
                </c:pt>
                <c:pt idx="1">
                  <c:v>8.15</c:v>
                </c:pt>
                <c:pt idx="2">
                  <c:v>7.6499999999999995</c:v>
                </c:pt>
                <c:pt idx="3">
                  <c:v>7.41</c:v>
                </c:pt>
              </c:numCache>
            </c:numRef>
          </c:val>
        </c:ser>
        <c:ser>
          <c:idx val="4"/>
          <c:order val="4"/>
          <c:tx>
            <c:strRef>
              <c:f>Sheet2!$F$138</c:f>
              <c:strCache>
                <c:ptCount val="1"/>
                <c:pt idx="0">
                  <c:v>5 (H. Proteine)</c:v>
                </c:pt>
              </c:strCache>
            </c:strRef>
          </c:tx>
          <c:spPr>
            <a:solidFill>
              <a:srgbClr val="FF33CC"/>
            </a:solidFill>
            <a:ln>
              <a:solidFill>
                <a:srgbClr val="FF33CC"/>
              </a:solidFill>
            </a:ln>
          </c:spPr>
          <c:errBars>
            <c:errBarType val="both"/>
            <c:errValType val="cust"/>
            <c:plus>
              <c:numRef>
                <c:f>Sheet1!$M$53:$M$56</c:f>
                <c:numCache>
                  <c:formatCode>General</c:formatCode>
                  <c:ptCount val="4"/>
                  <c:pt idx="0">
                    <c:v>4.3000000000000003E-2</c:v>
                  </c:pt>
                  <c:pt idx="1">
                    <c:v>4.0000000000000022E-2</c:v>
                  </c:pt>
                  <c:pt idx="2">
                    <c:v>2.5999999999999999E-2</c:v>
                  </c:pt>
                  <c:pt idx="3">
                    <c:v>2.9000000000000001E-2</c:v>
                  </c:pt>
                </c:numCache>
              </c:numRef>
            </c:plus>
            <c:minus>
              <c:numRef>
                <c:f>Sheet1!$M$53:$M$56</c:f>
                <c:numCache>
                  <c:formatCode>General</c:formatCode>
                  <c:ptCount val="4"/>
                  <c:pt idx="0">
                    <c:v>4.3000000000000003E-2</c:v>
                  </c:pt>
                  <c:pt idx="1">
                    <c:v>4.0000000000000022E-2</c:v>
                  </c:pt>
                  <c:pt idx="2">
                    <c:v>2.5999999999999999E-2</c:v>
                  </c:pt>
                  <c:pt idx="3">
                    <c:v>2.9000000000000001E-2</c:v>
                  </c:pt>
                </c:numCache>
              </c:numRef>
            </c:minus>
          </c:errBars>
          <c:cat>
            <c:strRef>
              <c:f>Sheet2!$A$139:$A$142</c:f>
              <c:strCache>
                <c:ptCount val="4"/>
                <c:pt idx="0">
                  <c:v>7 j</c:v>
                </c:pt>
                <c:pt idx="1">
                  <c:v>14 j</c:v>
                </c:pt>
                <c:pt idx="2">
                  <c:v>21 j</c:v>
                </c:pt>
                <c:pt idx="3">
                  <c:v>28 j</c:v>
                </c:pt>
              </c:strCache>
            </c:strRef>
          </c:cat>
          <c:val>
            <c:numRef>
              <c:f>Sheet2!$F$139:$F$142</c:f>
              <c:numCache>
                <c:formatCode>General</c:formatCode>
                <c:ptCount val="4"/>
                <c:pt idx="0">
                  <c:v>8.57</c:v>
                </c:pt>
                <c:pt idx="1">
                  <c:v>8.2800000000000011</c:v>
                </c:pt>
                <c:pt idx="2">
                  <c:v>7.81</c:v>
                </c:pt>
                <c:pt idx="3">
                  <c:v>7.44</c:v>
                </c:pt>
              </c:numCache>
            </c:numRef>
          </c:val>
        </c:ser>
        <c:axId val="61272832"/>
        <c:axId val="61274752"/>
      </c:barChart>
      <c:catAx>
        <c:axId val="61272832"/>
        <c:scaling>
          <c:orientation val="minMax"/>
        </c:scaling>
        <c:axPos val="b"/>
        <c:title>
          <c:tx>
            <c:rich>
              <a:bodyPr/>
              <a:lstStyle/>
              <a:p>
                <a:pPr>
                  <a:defRPr/>
                </a:pPr>
                <a:r>
                  <a:rPr lang="en-US">
                    <a:latin typeface="Times New Roman" pitchFamily="18" charset="0"/>
                    <a:cs typeface="Times New Roman" pitchFamily="18" charset="0"/>
                  </a:rPr>
                  <a:t>Entreposage à +4°C en jours</a:t>
                </a:r>
              </a:p>
            </c:rich>
          </c:tx>
          <c:layout>
            <c:manualLayout>
              <c:xMode val="edge"/>
              <c:yMode val="edge"/>
              <c:x val="0.25956738768718801"/>
              <c:y val="0.909896062992126"/>
            </c:manualLayout>
          </c:layout>
        </c:title>
        <c:numFmt formatCode="General" sourceLinked="1"/>
        <c:tickLblPos val="nextTo"/>
        <c:spPr>
          <a:ln>
            <a:solidFill>
              <a:sysClr val="windowText" lastClr="000000"/>
            </a:solidFill>
          </a:ln>
        </c:spPr>
        <c:txPr>
          <a:bodyPr/>
          <a:lstStyle/>
          <a:p>
            <a:pPr>
              <a:defRPr b="1"/>
            </a:pPr>
            <a:endParaRPr lang="fr-FR"/>
          </a:p>
        </c:txPr>
        <c:crossAx val="61274752"/>
        <c:crosses val="autoZero"/>
        <c:auto val="1"/>
        <c:lblAlgn val="ctr"/>
        <c:lblOffset val="100"/>
      </c:catAx>
      <c:valAx>
        <c:axId val="61274752"/>
        <c:scaling>
          <c:orientation val="minMax"/>
          <c:max val="9"/>
          <c:min val="5.5"/>
        </c:scaling>
        <c:axPos val="l"/>
        <c:title>
          <c:tx>
            <c:rich>
              <a:bodyPr rot="-5400000" vert="horz"/>
              <a:lstStyle/>
              <a:p>
                <a:pPr>
                  <a:defRPr/>
                </a:pPr>
                <a:r>
                  <a:rPr lang="en-US">
                    <a:latin typeface="Times New Roman" pitchFamily="18" charset="0"/>
                    <a:cs typeface="Times New Roman" pitchFamily="18" charset="0"/>
                  </a:rPr>
                  <a:t>log</a:t>
                </a:r>
                <a:r>
                  <a:rPr lang="en-US"/>
                  <a:t> </a:t>
                </a:r>
                <a:r>
                  <a:rPr lang="en-US">
                    <a:latin typeface="Times New Roman" pitchFamily="18" charset="0"/>
                    <a:cs typeface="Times New Roman" pitchFamily="18" charset="0"/>
                  </a:rPr>
                  <a:t>UFC/ml</a:t>
                </a:r>
              </a:p>
            </c:rich>
          </c:tx>
          <c:layout/>
        </c:title>
        <c:numFmt formatCode="General" sourceLinked="1"/>
        <c:tickLblPos val="nextTo"/>
        <c:spPr>
          <a:ln>
            <a:solidFill>
              <a:sysClr val="windowText" lastClr="000000"/>
            </a:solidFill>
          </a:ln>
        </c:spPr>
        <c:txPr>
          <a:bodyPr/>
          <a:lstStyle/>
          <a:p>
            <a:pPr>
              <a:defRPr b="1"/>
            </a:pPr>
            <a:endParaRPr lang="fr-FR"/>
          </a:p>
        </c:txPr>
        <c:crossAx val="61272832"/>
        <c:crosses val="autoZero"/>
        <c:crossBetween val="between"/>
        <c:majorUnit val="0.5"/>
      </c:valAx>
    </c:plotArea>
    <c:plotVisOnly val="1"/>
    <c:dispBlanksAs val="gap"/>
  </c:chart>
  <c:spPr>
    <a:ln>
      <a:solidFill>
        <a:schemeClr val="bg1"/>
      </a:solidFill>
    </a:ln>
  </c:spPr>
  <c:externalData r:id="rId1"/>
  <c:userShapes r:id="rId2"/>
</c:chartSpace>
</file>

<file path=word/charts/chart65.xml><?xml version="1.0" encoding="utf-8"?>
<c:chartSpace xmlns:c="http://schemas.openxmlformats.org/drawingml/2006/chart" xmlns:a="http://schemas.openxmlformats.org/drawingml/2006/main" xmlns:r="http://schemas.openxmlformats.org/officeDocument/2006/relationships">
  <c:date1904 val="1"/>
  <c:lang val="fr-FR"/>
  <c:style val="26"/>
  <c:chart>
    <c:title>
      <c:tx>
        <c:rich>
          <a:bodyPr/>
          <a:lstStyle/>
          <a:p>
            <a:pPr>
              <a:defRPr/>
            </a:pPr>
            <a:r>
              <a:rPr lang="fr-FR" b="0">
                <a:latin typeface="Times New Roman" pitchFamily="18" charset="0"/>
                <a:cs typeface="Times New Roman" pitchFamily="18" charset="0"/>
              </a:rPr>
              <a:t>A</a:t>
            </a:r>
          </a:p>
        </c:rich>
      </c:tx>
      <c:layout>
        <c:manualLayout>
          <c:xMode val="edge"/>
          <c:yMode val="edge"/>
          <c:x val="1.3508259883137017E-3"/>
          <c:y val="0"/>
        </c:manualLayout>
      </c:layout>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22140161735494188"/>
          <c:y val="8.9484128385297512E-2"/>
          <c:w val="0.74999816253624163"/>
          <c:h val="0.72111077024462844"/>
        </c:manualLayout>
      </c:layout>
      <c:barChart>
        <c:barDir val="col"/>
        <c:grouping val="clustered"/>
        <c:ser>
          <c:idx val="0"/>
          <c:order val="0"/>
          <c:tx>
            <c:strRef>
              <c:f>Sheet2!$B$142</c:f>
              <c:strCache>
                <c:ptCount val="1"/>
                <c:pt idx="0">
                  <c:v>1 (Temoin)</c:v>
                </c:pt>
              </c:strCache>
            </c:strRef>
          </c:tx>
          <c:spPr>
            <a:solidFill>
              <a:srgbClr val="0070C0"/>
            </a:solidFill>
            <a:ln>
              <a:solidFill>
                <a:srgbClr val="0070C0"/>
              </a:solidFill>
            </a:ln>
          </c:spPr>
          <c:errBars>
            <c:errBarType val="both"/>
            <c:errValType val="cust"/>
            <c:plus>
              <c:numRef>
                <c:f>Sheet1!$I$53:$M$53</c:f>
                <c:numCache>
                  <c:formatCode>General</c:formatCode>
                  <c:ptCount val="5"/>
                  <c:pt idx="0">
                    <c:v>4.5000000000000012E-2</c:v>
                  </c:pt>
                  <c:pt idx="1">
                    <c:v>5.1999999999999998E-2</c:v>
                  </c:pt>
                  <c:pt idx="2">
                    <c:v>6.0000000000000032E-2</c:v>
                  </c:pt>
                  <c:pt idx="3">
                    <c:v>5.1999999999999998E-2</c:v>
                  </c:pt>
                  <c:pt idx="4">
                    <c:v>5.8000000000000003E-2</c:v>
                  </c:pt>
                </c:numCache>
              </c:numRef>
            </c:plus>
            <c:minus>
              <c:numRef>
                <c:f>Sheet1!$I$53:$M$53</c:f>
                <c:numCache>
                  <c:formatCode>General</c:formatCode>
                  <c:ptCount val="5"/>
                  <c:pt idx="0">
                    <c:v>4.5000000000000012E-2</c:v>
                  </c:pt>
                  <c:pt idx="1">
                    <c:v>5.1999999999999998E-2</c:v>
                  </c:pt>
                  <c:pt idx="2">
                    <c:v>6.0000000000000032E-2</c:v>
                  </c:pt>
                  <c:pt idx="3">
                    <c:v>5.1999999999999998E-2</c:v>
                  </c:pt>
                  <c:pt idx="4">
                    <c:v>5.8000000000000003E-2</c:v>
                  </c:pt>
                </c:numCache>
              </c:numRef>
            </c:minus>
          </c:errBars>
          <c:cat>
            <c:strRef>
              <c:f>Sheet2!$A$143:$A$146</c:f>
              <c:strCache>
                <c:ptCount val="4"/>
                <c:pt idx="0">
                  <c:v>7 j</c:v>
                </c:pt>
                <c:pt idx="1">
                  <c:v>14 j</c:v>
                </c:pt>
                <c:pt idx="2">
                  <c:v>21 j</c:v>
                </c:pt>
                <c:pt idx="3">
                  <c:v>28 j</c:v>
                </c:pt>
              </c:strCache>
            </c:strRef>
          </c:cat>
          <c:val>
            <c:numRef>
              <c:f>Sheet2!$B$143:$B$146</c:f>
              <c:numCache>
                <c:formatCode>General</c:formatCode>
                <c:ptCount val="4"/>
                <c:pt idx="0">
                  <c:v>6.1099999999999985</c:v>
                </c:pt>
                <c:pt idx="1">
                  <c:v>5.81</c:v>
                </c:pt>
                <c:pt idx="2">
                  <c:v>5.6</c:v>
                </c:pt>
                <c:pt idx="3">
                  <c:v>5.3199999999999985</c:v>
                </c:pt>
              </c:numCache>
            </c:numRef>
          </c:val>
        </c:ser>
        <c:ser>
          <c:idx val="1"/>
          <c:order val="1"/>
          <c:tx>
            <c:strRef>
              <c:f>Sheet2!$C$142</c:f>
              <c:strCache>
                <c:ptCount val="1"/>
                <c:pt idx="0">
                  <c:v>2 (Lactoserum)</c:v>
                </c:pt>
              </c:strCache>
            </c:strRef>
          </c:tx>
          <c:spPr>
            <a:solidFill>
              <a:srgbClr val="FF9900"/>
            </a:solidFill>
            <a:ln>
              <a:solidFill>
                <a:srgbClr val="FF9900"/>
              </a:solidFill>
            </a:ln>
          </c:spPr>
          <c:errBars>
            <c:errBarType val="both"/>
            <c:errValType val="cust"/>
            <c:plus>
              <c:numRef>
                <c:f>Sheet1!$I$54:$M$54</c:f>
                <c:numCache>
                  <c:formatCode>General</c:formatCode>
                  <c:ptCount val="5"/>
                  <c:pt idx="0">
                    <c:v>5.9000000000000274E-2</c:v>
                  </c:pt>
                  <c:pt idx="1">
                    <c:v>5.3000000000000012E-2</c:v>
                  </c:pt>
                  <c:pt idx="2">
                    <c:v>3.1000000000000052E-2</c:v>
                  </c:pt>
                  <c:pt idx="3">
                    <c:v>4.5000000000000012E-2</c:v>
                  </c:pt>
                  <c:pt idx="4">
                    <c:v>4.0000000000000022E-2</c:v>
                  </c:pt>
                </c:numCache>
              </c:numRef>
            </c:plus>
            <c:minus>
              <c:numRef>
                <c:f>Sheet1!$I$54:$M$54</c:f>
                <c:numCache>
                  <c:formatCode>General</c:formatCode>
                  <c:ptCount val="5"/>
                  <c:pt idx="0">
                    <c:v>5.9000000000000274E-2</c:v>
                  </c:pt>
                  <c:pt idx="1">
                    <c:v>5.3000000000000012E-2</c:v>
                  </c:pt>
                  <c:pt idx="2">
                    <c:v>3.1000000000000052E-2</c:v>
                  </c:pt>
                  <c:pt idx="3">
                    <c:v>4.5000000000000012E-2</c:v>
                  </c:pt>
                  <c:pt idx="4">
                    <c:v>4.0000000000000022E-2</c:v>
                  </c:pt>
                </c:numCache>
              </c:numRef>
            </c:minus>
          </c:errBars>
          <c:cat>
            <c:strRef>
              <c:f>Sheet2!$A$143:$A$146</c:f>
              <c:strCache>
                <c:ptCount val="4"/>
                <c:pt idx="0">
                  <c:v>7 j</c:v>
                </c:pt>
                <c:pt idx="1">
                  <c:v>14 j</c:v>
                </c:pt>
                <c:pt idx="2">
                  <c:v>21 j</c:v>
                </c:pt>
                <c:pt idx="3">
                  <c:v>28 j</c:v>
                </c:pt>
              </c:strCache>
            </c:strRef>
          </c:cat>
          <c:val>
            <c:numRef>
              <c:f>Sheet2!$C$143:$C$146</c:f>
              <c:numCache>
                <c:formatCode>General</c:formatCode>
                <c:ptCount val="4"/>
                <c:pt idx="0">
                  <c:v>8.08</c:v>
                </c:pt>
                <c:pt idx="1">
                  <c:v>7.8199999999999985</c:v>
                </c:pt>
                <c:pt idx="2">
                  <c:v>7.54</c:v>
                </c:pt>
                <c:pt idx="3">
                  <c:v>7.17</c:v>
                </c:pt>
              </c:numCache>
            </c:numRef>
          </c:val>
        </c:ser>
        <c:ser>
          <c:idx val="2"/>
          <c:order val="2"/>
          <c:tx>
            <c:strRef>
              <c:f>Sheet2!$D$142</c:f>
              <c:strCache>
                <c:ptCount val="1"/>
                <c:pt idx="0">
                  <c:v>3 (Promilk)</c:v>
                </c:pt>
              </c:strCache>
            </c:strRef>
          </c:tx>
          <c:spPr>
            <a:solidFill>
              <a:srgbClr val="92D050"/>
            </a:solidFill>
            <a:ln>
              <a:solidFill>
                <a:srgbClr val="92D050"/>
              </a:solidFill>
            </a:ln>
          </c:spPr>
          <c:errBars>
            <c:errBarType val="both"/>
            <c:errValType val="cust"/>
            <c:plus>
              <c:numRef>
                <c:f>Sheet1!$I$55:$M$55</c:f>
                <c:numCache>
                  <c:formatCode>General</c:formatCode>
                  <c:ptCount val="5"/>
                  <c:pt idx="0">
                    <c:v>6.1000000000000013E-2</c:v>
                  </c:pt>
                  <c:pt idx="1">
                    <c:v>6.5000000000000002E-2</c:v>
                  </c:pt>
                  <c:pt idx="2">
                    <c:v>2.9000000000000001E-2</c:v>
                  </c:pt>
                  <c:pt idx="3">
                    <c:v>3.1000000000000052E-2</c:v>
                  </c:pt>
                  <c:pt idx="4">
                    <c:v>3.4000000000000002E-2</c:v>
                  </c:pt>
                </c:numCache>
              </c:numRef>
            </c:plus>
            <c:minus>
              <c:numRef>
                <c:f>Sheet1!$I$55:$M$55</c:f>
                <c:numCache>
                  <c:formatCode>General</c:formatCode>
                  <c:ptCount val="5"/>
                  <c:pt idx="0">
                    <c:v>6.1000000000000013E-2</c:v>
                  </c:pt>
                  <c:pt idx="1">
                    <c:v>6.5000000000000002E-2</c:v>
                  </c:pt>
                  <c:pt idx="2">
                    <c:v>2.9000000000000001E-2</c:v>
                  </c:pt>
                  <c:pt idx="3">
                    <c:v>3.1000000000000052E-2</c:v>
                  </c:pt>
                  <c:pt idx="4">
                    <c:v>3.4000000000000002E-2</c:v>
                  </c:pt>
                </c:numCache>
              </c:numRef>
            </c:minus>
          </c:errBars>
          <c:cat>
            <c:strRef>
              <c:f>Sheet2!$A$143:$A$146</c:f>
              <c:strCache>
                <c:ptCount val="4"/>
                <c:pt idx="0">
                  <c:v>7 j</c:v>
                </c:pt>
                <c:pt idx="1">
                  <c:v>14 j</c:v>
                </c:pt>
                <c:pt idx="2">
                  <c:v>21 j</c:v>
                </c:pt>
                <c:pt idx="3">
                  <c:v>28 j</c:v>
                </c:pt>
              </c:strCache>
            </c:strRef>
          </c:cat>
          <c:val>
            <c:numRef>
              <c:f>Sheet2!$D$143:$D$146</c:f>
              <c:numCache>
                <c:formatCode>General</c:formatCode>
                <c:ptCount val="4"/>
                <c:pt idx="0">
                  <c:v>7.1</c:v>
                </c:pt>
                <c:pt idx="1">
                  <c:v>6.85</c:v>
                </c:pt>
                <c:pt idx="2">
                  <c:v>6.51</c:v>
                </c:pt>
                <c:pt idx="3">
                  <c:v>6.1</c:v>
                </c:pt>
              </c:numCache>
            </c:numRef>
          </c:val>
        </c:ser>
        <c:ser>
          <c:idx val="3"/>
          <c:order val="3"/>
          <c:tx>
            <c:strRef>
              <c:f>Sheet2!$E$142</c:f>
              <c:strCache>
                <c:ptCount val="1"/>
                <c:pt idx="0">
                  <c:v>4 (H. Caseine)</c:v>
                </c:pt>
              </c:strCache>
            </c:strRef>
          </c:tx>
          <c:spPr>
            <a:solidFill>
              <a:srgbClr val="990099"/>
            </a:solidFill>
            <a:ln>
              <a:solidFill>
                <a:srgbClr val="990099"/>
              </a:solidFill>
            </a:ln>
          </c:spPr>
          <c:errBars>
            <c:errBarType val="both"/>
            <c:errValType val="cust"/>
            <c:plus>
              <c:numRef>
                <c:f>Sheet1!$I$56:$M$56</c:f>
                <c:numCache>
                  <c:formatCode>General</c:formatCode>
                  <c:ptCount val="5"/>
                  <c:pt idx="0">
                    <c:v>0.05</c:v>
                  </c:pt>
                  <c:pt idx="1">
                    <c:v>5.8000000000000003E-2</c:v>
                  </c:pt>
                  <c:pt idx="2">
                    <c:v>4.9000000000000113E-2</c:v>
                  </c:pt>
                  <c:pt idx="3">
                    <c:v>3.1000000000000052E-2</c:v>
                  </c:pt>
                  <c:pt idx="4">
                    <c:v>4.5000000000000012E-2</c:v>
                  </c:pt>
                </c:numCache>
              </c:numRef>
            </c:plus>
            <c:minus>
              <c:numRef>
                <c:f>Sheet1!$I$56:$M$56</c:f>
                <c:numCache>
                  <c:formatCode>General</c:formatCode>
                  <c:ptCount val="5"/>
                  <c:pt idx="0">
                    <c:v>0.05</c:v>
                  </c:pt>
                  <c:pt idx="1">
                    <c:v>5.8000000000000003E-2</c:v>
                  </c:pt>
                  <c:pt idx="2">
                    <c:v>4.9000000000000113E-2</c:v>
                  </c:pt>
                  <c:pt idx="3">
                    <c:v>3.1000000000000052E-2</c:v>
                  </c:pt>
                  <c:pt idx="4">
                    <c:v>4.5000000000000012E-2</c:v>
                  </c:pt>
                </c:numCache>
              </c:numRef>
            </c:minus>
          </c:errBars>
          <c:cat>
            <c:strRef>
              <c:f>Sheet2!$A$143:$A$146</c:f>
              <c:strCache>
                <c:ptCount val="4"/>
                <c:pt idx="0">
                  <c:v>7 j</c:v>
                </c:pt>
                <c:pt idx="1">
                  <c:v>14 j</c:v>
                </c:pt>
                <c:pt idx="2">
                  <c:v>21 j</c:v>
                </c:pt>
                <c:pt idx="3">
                  <c:v>28 j</c:v>
                </c:pt>
              </c:strCache>
            </c:strRef>
          </c:cat>
          <c:val>
            <c:numRef>
              <c:f>Sheet2!$E$143:$E$146</c:f>
              <c:numCache>
                <c:formatCode>General</c:formatCode>
                <c:ptCount val="4"/>
                <c:pt idx="0">
                  <c:v>7.52</c:v>
                </c:pt>
                <c:pt idx="1">
                  <c:v>7.1599999999999975</c:v>
                </c:pt>
                <c:pt idx="2">
                  <c:v>6.88</c:v>
                </c:pt>
                <c:pt idx="3">
                  <c:v>6.58</c:v>
                </c:pt>
              </c:numCache>
            </c:numRef>
          </c:val>
        </c:ser>
        <c:ser>
          <c:idx val="4"/>
          <c:order val="4"/>
          <c:tx>
            <c:strRef>
              <c:f>Sheet2!$F$142</c:f>
              <c:strCache>
                <c:ptCount val="1"/>
                <c:pt idx="0">
                  <c:v>5 (H. Proteine)</c:v>
                </c:pt>
              </c:strCache>
            </c:strRef>
          </c:tx>
          <c:spPr>
            <a:solidFill>
              <a:srgbClr val="FF33CC"/>
            </a:solidFill>
            <a:ln>
              <a:solidFill>
                <a:srgbClr val="FF33CC"/>
              </a:solidFill>
            </a:ln>
          </c:spPr>
          <c:errBars>
            <c:errBarType val="both"/>
            <c:errValType val="cust"/>
            <c:plus>
              <c:numRef>
                <c:f>Sheet2!$M$143:$M$146</c:f>
                <c:numCache>
                  <c:formatCode>General</c:formatCode>
                  <c:ptCount val="4"/>
                  <c:pt idx="0">
                    <c:v>5.8000000000000003E-2</c:v>
                  </c:pt>
                  <c:pt idx="1">
                    <c:v>4.0000000000000022E-2</c:v>
                  </c:pt>
                  <c:pt idx="2">
                    <c:v>3.4000000000000002E-2</c:v>
                  </c:pt>
                  <c:pt idx="3">
                    <c:v>4.5000000000000012E-2</c:v>
                  </c:pt>
                </c:numCache>
              </c:numRef>
            </c:plus>
            <c:minus>
              <c:numRef>
                <c:f>Sheet2!$M$143:$M$146</c:f>
                <c:numCache>
                  <c:formatCode>General</c:formatCode>
                  <c:ptCount val="4"/>
                  <c:pt idx="0">
                    <c:v>5.8000000000000003E-2</c:v>
                  </c:pt>
                  <c:pt idx="1">
                    <c:v>4.0000000000000022E-2</c:v>
                  </c:pt>
                  <c:pt idx="2">
                    <c:v>3.4000000000000002E-2</c:v>
                  </c:pt>
                  <c:pt idx="3">
                    <c:v>4.5000000000000012E-2</c:v>
                  </c:pt>
                </c:numCache>
              </c:numRef>
            </c:minus>
          </c:errBars>
          <c:cat>
            <c:strRef>
              <c:f>Sheet2!$A$143:$A$146</c:f>
              <c:strCache>
                <c:ptCount val="4"/>
                <c:pt idx="0">
                  <c:v>7 j</c:v>
                </c:pt>
                <c:pt idx="1">
                  <c:v>14 j</c:v>
                </c:pt>
                <c:pt idx="2">
                  <c:v>21 j</c:v>
                </c:pt>
                <c:pt idx="3">
                  <c:v>28 j</c:v>
                </c:pt>
              </c:strCache>
            </c:strRef>
          </c:cat>
          <c:val>
            <c:numRef>
              <c:f>Sheet2!$F$143:$F$146</c:f>
              <c:numCache>
                <c:formatCode>General</c:formatCode>
                <c:ptCount val="4"/>
                <c:pt idx="0">
                  <c:v>8.09</c:v>
                </c:pt>
                <c:pt idx="1">
                  <c:v>7.89</c:v>
                </c:pt>
                <c:pt idx="2">
                  <c:v>7.49</c:v>
                </c:pt>
                <c:pt idx="3">
                  <c:v>7.07</c:v>
                </c:pt>
              </c:numCache>
            </c:numRef>
          </c:val>
        </c:ser>
        <c:axId val="61402496"/>
        <c:axId val="63645184"/>
      </c:barChart>
      <c:catAx>
        <c:axId val="61402496"/>
        <c:scaling>
          <c:orientation val="minMax"/>
        </c:scaling>
        <c:axPos val="b"/>
        <c:title>
          <c:tx>
            <c:rich>
              <a:bodyPr/>
              <a:lstStyle/>
              <a:p>
                <a:pPr>
                  <a:defRPr/>
                </a:pPr>
                <a:r>
                  <a:rPr lang="fr-FR">
                    <a:latin typeface="Times New Roman" pitchFamily="18" charset="0"/>
                    <a:cs typeface="Times New Roman" pitchFamily="18" charset="0"/>
                  </a:rPr>
                  <a:t>Entreposage</a:t>
                </a:r>
                <a:r>
                  <a:rPr lang="fr-FR"/>
                  <a:t> </a:t>
                </a:r>
                <a:r>
                  <a:rPr lang="fr-FR">
                    <a:latin typeface="Times New Roman" pitchFamily="18" charset="0"/>
                    <a:cs typeface="Times New Roman" pitchFamily="18" charset="0"/>
                  </a:rPr>
                  <a:t>à +4°C en jours</a:t>
                </a:r>
              </a:p>
            </c:rich>
          </c:tx>
          <c:layout>
            <c:manualLayout>
              <c:xMode val="edge"/>
              <c:yMode val="edge"/>
              <c:x val="0.27901945197159861"/>
              <c:y val="0.90908795593375857"/>
            </c:manualLayout>
          </c:layout>
        </c:title>
        <c:numFmt formatCode="General" sourceLinked="1"/>
        <c:tickLblPos val="nextTo"/>
        <c:spPr>
          <a:ln>
            <a:solidFill>
              <a:sysClr val="windowText" lastClr="000000"/>
            </a:solidFill>
          </a:ln>
        </c:spPr>
        <c:txPr>
          <a:bodyPr rot="0" vert="horz"/>
          <a:lstStyle/>
          <a:p>
            <a:pPr>
              <a:defRPr b="1"/>
            </a:pPr>
            <a:endParaRPr lang="fr-FR"/>
          </a:p>
        </c:txPr>
        <c:crossAx val="63645184"/>
        <c:crosses val="autoZero"/>
        <c:auto val="1"/>
        <c:lblAlgn val="ctr"/>
        <c:lblOffset val="100"/>
      </c:catAx>
      <c:valAx>
        <c:axId val="63645184"/>
        <c:scaling>
          <c:orientation val="minMax"/>
          <c:min val="5"/>
        </c:scaling>
        <c:axPos val="l"/>
        <c:title>
          <c:tx>
            <c:rich>
              <a:bodyPr/>
              <a:lstStyle/>
              <a:p>
                <a:pPr>
                  <a:defRPr/>
                </a:pPr>
                <a:r>
                  <a:rPr lang="fr-FR">
                    <a:latin typeface="Times New Roman" pitchFamily="18" charset="0"/>
                    <a:cs typeface="Times New Roman" pitchFamily="18" charset="0"/>
                  </a:rPr>
                  <a:t>log</a:t>
                </a:r>
                <a:r>
                  <a:rPr lang="fr-FR"/>
                  <a:t> </a:t>
                </a:r>
                <a:r>
                  <a:rPr lang="fr-FR">
                    <a:latin typeface="Times New Roman" pitchFamily="18" charset="0"/>
                    <a:cs typeface="Times New Roman" pitchFamily="18" charset="0"/>
                  </a:rPr>
                  <a:t>UFC/ml</a:t>
                </a:r>
              </a:p>
            </c:rich>
          </c:tx>
          <c:layout/>
        </c:title>
        <c:numFmt formatCode="General" sourceLinked="1"/>
        <c:tickLblPos val="nextTo"/>
        <c:spPr>
          <a:ln>
            <a:solidFill>
              <a:sysClr val="windowText" lastClr="000000"/>
            </a:solidFill>
          </a:ln>
        </c:spPr>
        <c:txPr>
          <a:bodyPr rot="0" vert="horz"/>
          <a:lstStyle/>
          <a:p>
            <a:pPr>
              <a:defRPr b="1"/>
            </a:pPr>
            <a:endParaRPr lang="fr-FR"/>
          </a:p>
        </c:txPr>
        <c:crossAx val="61402496"/>
        <c:crosses val="autoZero"/>
        <c:crossBetween val="between"/>
        <c:majorUnit val="0.5"/>
      </c:valAx>
    </c:plotArea>
    <c:plotVisOnly val="1"/>
    <c:dispBlanksAs val="gap"/>
  </c:chart>
  <c:spPr>
    <a:ln>
      <a:solidFill>
        <a:schemeClr val="bg1"/>
      </a:solidFill>
    </a:ln>
  </c:spPr>
  <c:externalData r:id="rId1"/>
  <c:userShapes r:id="rId2"/>
</c:chartSpace>
</file>

<file path=word/charts/chart66.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a:pPr>
            <a:r>
              <a:rPr lang="fr-FR" b="0">
                <a:latin typeface="Times New Roman" pitchFamily="18" charset="0"/>
                <a:cs typeface="Times New Roman" pitchFamily="18" charset="0"/>
              </a:rPr>
              <a:t>E</a:t>
            </a:r>
          </a:p>
        </c:rich>
      </c:tx>
      <c:layout>
        <c:manualLayout>
          <c:xMode val="edge"/>
          <c:yMode val="edge"/>
          <c:x val="1.2657628322775643E-3"/>
          <c:y val="0"/>
        </c:manualLayout>
      </c:layout>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19751647226669294"/>
          <c:y val="0.1097188527109787"/>
          <c:w val="0.72791932128815862"/>
          <c:h val="0.68330577427821571"/>
        </c:manualLayout>
      </c:layout>
      <c:lineChart>
        <c:grouping val="standard"/>
        <c:ser>
          <c:idx val="0"/>
          <c:order val="0"/>
          <c:tx>
            <c:strRef>
              <c:f>Feuil1!$B$89</c:f>
              <c:strCache>
                <c:ptCount val="1"/>
                <c:pt idx="0">
                  <c:v>1 (Temoin)</c:v>
                </c:pt>
              </c:strCache>
            </c:strRef>
          </c:tx>
          <c:spPr>
            <a:ln w="12700"/>
          </c:spPr>
          <c:errBars>
            <c:errDir val="y"/>
            <c:errBarType val="both"/>
            <c:errValType val="cust"/>
            <c:plus>
              <c:numRef>
                <c:f>Sheet1!$I$37:$M$37</c:f>
                <c:numCache>
                  <c:formatCode>General</c:formatCode>
                  <c:ptCount val="5"/>
                  <c:pt idx="0">
                    <c:v>1.9000000000000097E-2</c:v>
                  </c:pt>
                  <c:pt idx="1">
                    <c:v>1.2999999999999998E-2</c:v>
                  </c:pt>
                  <c:pt idx="2">
                    <c:v>2.5999999999999999E-2</c:v>
                  </c:pt>
                  <c:pt idx="3">
                    <c:v>2.3E-2</c:v>
                  </c:pt>
                  <c:pt idx="4">
                    <c:v>2.9000000000000001E-2</c:v>
                  </c:pt>
                </c:numCache>
              </c:numRef>
            </c:plus>
            <c:minus>
              <c:numRef>
                <c:f>Sheet1!$I$37:$M$37</c:f>
                <c:numCache>
                  <c:formatCode>General</c:formatCode>
                  <c:ptCount val="5"/>
                  <c:pt idx="0">
                    <c:v>1.9000000000000097E-2</c:v>
                  </c:pt>
                  <c:pt idx="1">
                    <c:v>1.2999999999999998E-2</c:v>
                  </c:pt>
                  <c:pt idx="2">
                    <c:v>2.5999999999999999E-2</c:v>
                  </c:pt>
                  <c:pt idx="3">
                    <c:v>2.3E-2</c:v>
                  </c:pt>
                  <c:pt idx="4">
                    <c:v>2.9000000000000001E-2</c:v>
                  </c:pt>
                </c:numCache>
              </c:numRef>
            </c:minus>
          </c:errBars>
          <c:cat>
            <c:strRef>
              <c:f>Feuil1!$A$90:$A$93</c:f>
              <c:strCache>
                <c:ptCount val="4"/>
                <c:pt idx="0">
                  <c:v>7 j</c:v>
                </c:pt>
                <c:pt idx="1">
                  <c:v>14 j</c:v>
                </c:pt>
                <c:pt idx="2">
                  <c:v>21 j</c:v>
                </c:pt>
                <c:pt idx="3">
                  <c:v>28 j</c:v>
                </c:pt>
              </c:strCache>
            </c:strRef>
          </c:cat>
          <c:val>
            <c:numRef>
              <c:f>Feuil1!$B$90:$B$93</c:f>
              <c:numCache>
                <c:formatCode>General</c:formatCode>
                <c:ptCount val="4"/>
                <c:pt idx="0">
                  <c:v>4.91</c:v>
                </c:pt>
                <c:pt idx="1">
                  <c:v>4.84</c:v>
                </c:pt>
                <c:pt idx="2">
                  <c:v>4.74</c:v>
                </c:pt>
                <c:pt idx="3">
                  <c:v>4.6399999999999997</c:v>
                </c:pt>
              </c:numCache>
            </c:numRef>
          </c:val>
        </c:ser>
        <c:ser>
          <c:idx val="1"/>
          <c:order val="1"/>
          <c:tx>
            <c:strRef>
              <c:f>Feuil1!$C$89</c:f>
              <c:strCache>
                <c:ptCount val="1"/>
                <c:pt idx="0">
                  <c:v>2 (Lactoserum)</c:v>
                </c:pt>
              </c:strCache>
            </c:strRef>
          </c:tx>
          <c:spPr>
            <a:ln w="12700">
              <a:solidFill>
                <a:srgbClr val="FF9900"/>
              </a:solidFill>
            </a:ln>
          </c:spPr>
          <c:marker>
            <c:symbol val="square"/>
            <c:size val="3"/>
            <c:spPr>
              <a:solidFill>
                <a:srgbClr val="FF9900"/>
              </a:solidFill>
              <a:ln>
                <a:solidFill>
                  <a:srgbClr val="FF9900"/>
                </a:solidFill>
              </a:ln>
            </c:spPr>
          </c:marker>
          <c:errBars>
            <c:errDir val="y"/>
            <c:errBarType val="both"/>
            <c:errValType val="cust"/>
            <c:plus>
              <c:numRef>
                <c:f>Sheet1!$I$38:$M$38</c:f>
                <c:numCache>
                  <c:formatCode>General</c:formatCode>
                  <c:ptCount val="5"/>
                  <c:pt idx="0">
                    <c:v>1.2E-2</c:v>
                  </c:pt>
                  <c:pt idx="1">
                    <c:v>1.4999999999999998E-2</c:v>
                  </c:pt>
                  <c:pt idx="2">
                    <c:v>1.0999999999999998E-2</c:v>
                  </c:pt>
                  <c:pt idx="3">
                    <c:v>1.7999999999999999E-2</c:v>
                  </c:pt>
                  <c:pt idx="4">
                    <c:v>2.0000000000000011E-2</c:v>
                  </c:pt>
                </c:numCache>
              </c:numRef>
            </c:plus>
            <c:minus>
              <c:numRef>
                <c:f>Sheet1!$I$38:$M$38</c:f>
                <c:numCache>
                  <c:formatCode>General</c:formatCode>
                  <c:ptCount val="5"/>
                  <c:pt idx="0">
                    <c:v>1.2E-2</c:v>
                  </c:pt>
                  <c:pt idx="1">
                    <c:v>1.4999999999999998E-2</c:v>
                  </c:pt>
                  <c:pt idx="2">
                    <c:v>1.0999999999999998E-2</c:v>
                  </c:pt>
                  <c:pt idx="3">
                    <c:v>1.7999999999999999E-2</c:v>
                  </c:pt>
                  <c:pt idx="4">
                    <c:v>2.0000000000000011E-2</c:v>
                  </c:pt>
                </c:numCache>
              </c:numRef>
            </c:minus>
          </c:errBars>
          <c:cat>
            <c:strRef>
              <c:f>Feuil1!$A$90:$A$93</c:f>
              <c:strCache>
                <c:ptCount val="4"/>
                <c:pt idx="0">
                  <c:v>7 j</c:v>
                </c:pt>
                <c:pt idx="1">
                  <c:v>14 j</c:v>
                </c:pt>
                <c:pt idx="2">
                  <c:v>21 j</c:v>
                </c:pt>
                <c:pt idx="3">
                  <c:v>28 j</c:v>
                </c:pt>
              </c:strCache>
            </c:strRef>
          </c:cat>
          <c:val>
            <c:numRef>
              <c:f>Feuil1!$C$90:$C$93</c:f>
              <c:numCache>
                <c:formatCode>General</c:formatCode>
                <c:ptCount val="4"/>
                <c:pt idx="0">
                  <c:v>4.7300000000000004</c:v>
                </c:pt>
                <c:pt idx="1">
                  <c:v>4.57</c:v>
                </c:pt>
                <c:pt idx="2">
                  <c:v>4.4800000000000004</c:v>
                </c:pt>
                <c:pt idx="3">
                  <c:v>4.4000000000000004</c:v>
                </c:pt>
              </c:numCache>
            </c:numRef>
          </c:val>
        </c:ser>
        <c:ser>
          <c:idx val="2"/>
          <c:order val="2"/>
          <c:tx>
            <c:strRef>
              <c:f>Feuil1!$D$89</c:f>
              <c:strCache>
                <c:ptCount val="1"/>
                <c:pt idx="0">
                  <c:v>3 (Promilk)</c:v>
                </c:pt>
              </c:strCache>
            </c:strRef>
          </c:tx>
          <c:spPr>
            <a:ln w="12700">
              <a:solidFill>
                <a:srgbClr val="92D050"/>
              </a:solidFill>
            </a:ln>
          </c:spPr>
          <c:marker>
            <c:spPr>
              <a:solidFill>
                <a:srgbClr val="92D050"/>
              </a:solidFill>
              <a:ln>
                <a:solidFill>
                  <a:srgbClr val="92D050"/>
                </a:solidFill>
              </a:ln>
            </c:spPr>
          </c:marker>
          <c:errBars>
            <c:errDir val="y"/>
            <c:errBarType val="both"/>
            <c:errValType val="cust"/>
            <c:plus>
              <c:numRef>
                <c:f>Sheet1!$I$39:$M$39</c:f>
                <c:numCache>
                  <c:formatCode>General</c:formatCode>
                  <c:ptCount val="5"/>
                  <c:pt idx="0">
                    <c:v>1.9000000000000097E-2</c:v>
                  </c:pt>
                  <c:pt idx="1">
                    <c:v>2.4E-2</c:v>
                  </c:pt>
                  <c:pt idx="2">
                    <c:v>1.4999999999999998E-2</c:v>
                  </c:pt>
                  <c:pt idx="3">
                    <c:v>3.500000000000001E-2</c:v>
                  </c:pt>
                  <c:pt idx="4">
                    <c:v>1.9000000000000097E-2</c:v>
                  </c:pt>
                </c:numCache>
              </c:numRef>
            </c:plus>
            <c:minus>
              <c:numRef>
                <c:f>Sheet1!$I$39:$M$39</c:f>
                <c:numCache>
                  <c:formatCode>General</c:formatCode>
                  <c:ptCount val="5"/>
                  <c:pt idx="0">
                    <c:v>1.9000000000000097E-2</c:v>
                  </c:pt>
                  <c:pt idx="1">
                    <c:v>2.4E-2</c:v>
                  </c:pt>
                  <c:pt idx="2">
                    <c:v>1.4999999999999998E-2</c:v>
                  </c:pt>
                  <c:pt idx="3">
                    <c:v>3.500000000000001E-2</c:v>
                  </c:pt>
                  <c:pt idx="4">
                    <c:v>1.9000000000000097E-2</c:v>
                  </c:pt>
                </c:numCache>
              </c:numRef>
            </c:minus>
          </c:errBars>
          <c:cat>
            <c:strRef>
              <c:f>Feuil1!$A$90:$A$93</c:f>
              <c:strCache>
                <c:ptCount val="4"/>
                <c:pt idx="0">
                  <c:v>7 j</c:v>
                </c:pt>
                <c:pt idx="1">
                  <c:v>14 j</c:v>
                </c:pt>
                <c:pt idx="2">
                  <c:v>21 j</c:v>
                </c:pt>
                <c:pt idx="3">
                  <c:v>28 j</c:v>
                </c:pt>
              </c:strCache>
            </c:strRef>
          </c:cat>
          <c:val>
            <c:numRef>
              <c:f>Feuil1!$D$90:$D$93</c:f>
              <c:numCache>
                <c:formatCode>General</c:formatCode>
                <c:ptCount val="4"/>
                <c:pt idx="0">
                  <c:v>4.8599999999999985</c:v>
                </c:pt>
                <c:pt idx="1">
                  <c:v>4.7</c:v>
                </c:pt>
                <c:pt idx="2">
                  <c:v>4.5999999999999996</c:v>
                </c:pt>
                <c:pt idx="3">
                  <c:v>4.5199999999999996</c:v>
                </c:pt>
              </c:numCache>
            </c:numRef>
          </c:val>
        </c:ser>
        <c:ser>
          <c:idx val="3"/>
          <c:order val="3"/>
          <c:tx>
            <c:strRef>
              <c:f>Feuil1!$E$89</c:f>
              <c:strCache>
                <c:ptCount val="1"/>
                <c:pt idx="0">
                  <c:v>4 (H. Caseine)</c:v>
                </c:pt>
              </c:strCache>
            </c:strRef>
          </c:tx>
          <c:spPr>
            <a:ln w="12700">
              <a:solidFill>
                <a:srgbClr val="990099"/>
              </a:solidFill>
            </a:ln>
          </c:spPr>
          <c:marker>
            <c:spPr>
              <a:solidFill>
                <a:srgbClr val="990099"/>
              </a:solidFill>
              <a:ln>
                <a:solidFill>
                  <a:srgbClr val="990099"/>
                </a:solidFill>
              </a:ln>
            </c:spPr>
          </c:marker>
          <c:errBars>
            <c:errDir val="y"/>
            <c:errBarType val="both"/>
            <c:errValType val="cust"/>
            <c:plus>
              <c:numRef>
                <c:f>Sheet1!$I$40:$M$40</c:f>
                <c:numCache>
                  <c:formatCode>General</c:formatCode>
                  <c:ptCount val="5"/>
                  <c:pt idx="0">
                    <c:v>2.3E-2</c:v>
                  </c:pt>
                  <c:pt idx="1">
                    <c:v>1.7000000000000001E-2</c:v>
                  </c:pt>
                  <c:pt idx="2">
                    <c:v>1.7999999999999999E-2</c:v>
                  </c:pt>
                  <c:pt idx="3">
                    <c:v>1.4E-2</c:v>
                  </c:pt>
                  <c:pt idx="4">
                    <c:v>1.9000000000000097E-2</c:v>
                  </c:pt>
                </c:numCache>
              </c:numRef>
            </c:plus>
            <c:minus>
              <c:numRef>
                <c:f>Sheet1!$I$40:$M$40</c:f>
                <c:numCache>
                  <c:formatCode>General</c:formatCode>
                  <c:ptCount val="5"/>
                  <c:pt idx="0">
                    <c:v>2.3E-2</c:v>
                  </c:pt>
                  <c:pt idx="1">
                    <c:v>1.7000000000000001E-2</c:v>
                  </c:pt>
                  <c:pt idx="2">
                    <c:v>1.7999999999999999E-2</c:v>
                  </c:pt>
                  <c:pt idx="3">
                    <c:v>1.4E-2</c:v>
                  </c:pt>
                  <c:pt idx="4">
                    <c:v>1.9000000000000097E-2</c:v>
                  </c:pt>
                </c:numCache>
              </c:numRef>
            </c:minus>
          </c:errBars>
          <c:cat>
            <c:strRef>
              <c:f>Feuil1!$A$90:$A$93</c:f>
              <c:strCache>
                <c:ptCount val="4"/>
                <c:pt idx="0">
                  <c:v>7 j</c:v>
                </c:pt>
                <c:pt idx="1">
                  <c:v>14 j</c:v>
                </c:pt>
                <c:pt idx="2">
                  <c:v>21 j</c:v>
                </c:pt>
                <c:pt idx="3">
                  <c:v>28 j</c:v>
                </c:pt>
              </c:strCache>
            </c:strRef>
          </c:cat>
          <c:val>
            <c:numRef>
              <c:f>Feuil1!$E$90:$E$93</c:f>
              <c:numCache>
                <c:formatCode>General</c:formatCode>
                <c:ptCount val="4"/>
                <c:pt idx="0">
                  <c:v>4.8</c:v>
                </c:pt>
                <c:pt idx="1">
                  <c:v>4.6399999999999997</c:v>
                </c:pt>
                <c:pt idx="2">
                  <c:v>4.57</c:v>
                </c:pt>
                <c:pt idx="3">
                  <c:v>4.5</c:v>
                </c:pt>
              </c:numCache>
            </c:numRef>
          </c:val>
        </c:ser>
        <c:ser>
          <c:idx val="4"/>
          <c:order val="4"/>
          <c:tx>
            <c:strRef>
              <c:f>Feuil1!$F$89</c:f>
              <c:strCache>
                <c:ptCount val="1"/>
                <c:pt idx="0">
                  <c:v>5 (H. Proteine)</c:v>
                </c:pt>
              </c:strCache>
            </c:strRef>
          </c:tx>
          <c:spPr>
            <a:ln w="12700">
              <a:solidFill>
                <a:srgbClr val="FF33CC"/>
              </a:solidFill>
            </a:ln>
          </c:spPr>
          <c:marker>
            <c:symbol val="circle"/>
            <c:size val="5"/>
            <c:spPr>
              <a:solidFill>
                <a:srgbClr val="FF33CC"/>
              </a:solidFill>
              <a:ln>
                <a:solidFill>
                  <a:srgbClr val="FF33CC"/>
                </a:solidFill>
              </a:ln>
            </c:spPr>
          </c:marker>
          <c:cat>
            <c:strRef>
              <c:f>Feuil1!$A$90:$A$93</c:f>
              <c:strCache>
                <c:ptCount val="4"/>
                <c:pt idx="0">
                  <c:v>7 j</c:v>
                </c:pt>
                <c:pt idx="1">
                  <c:v>14 j</c:v>
                </c:pt>
                <c:pt idx="2">
                  <c:v>21 j</c:v>
                </c:pt>
                <c:pt idx="3">
                  <c:v>28 j</c:v>
                </c:pt>
              </c:strCache>
            </c:strRef>
          </c:cat>
          <c:val>
            <c:numRef>
              <c:f>Feuil1!$F$90:$F$93</c:f>
              <c:numCache>
                <c:formatCode>General</c:formatCode>
                <c:ptCount val="4"/>
                <c:pt idx="0">
                  <c:v>4.8499999999999996</c:v>
                </c:pt>
                <c:pt idx="1">
                  <c:v>4.74</c:v>
                </c:pt>
                <c:pt idx="2">
                  <c:v>4.6399999999999997</c:v>
                </c:pt>
                <c:pt idx="3">
                  <c:v>4.54</c:v>
                </c:pt>
              </c:numCache>
            </c:numRef>
          </c:val>
        </c:ser>
        <c:marker val="1"/>
        <c:axId val="63690240"/>
        <c:axId val="63705088"/>
      </c:lineChart>
      <c:catAx>
        <c:axId val="63690240"/>
        <c:scaling>
          <c:orientation val="minMax"/>
        </c:scaling>
        <c:axPos val="b"/>
        <c:title>
          <c:tx>
            <c:rich>
              <a:bodyPr/>
              <a:lstStyle/>
              <a:p>
                <a:pPr>
                  <a:defRPr>
                    <a:latin typeface="Times New Roman" pitchFamily="18" charset="0"/>
                    <a:cs typeface="Times New Roman" pitchFamily="18" charset="0"/>
                  </a:defRPr>
                </a:pPr>
                <a:r>
                  <a:rPr lang="en-US">
                    <a:latin typeface="Times New Roman" pitchFamily="18" charset="0"/>
                    <a:cs typeface="Times New Roman" pitchFamily="18" charset="0"/>
                  </a:rPr>
                  <a:t>Entreposage à +4°C en jours</a:t>
                </a:r>
              </a:p>
            </c:rich>
          </c:tx>
          <c:layout>
            <c:manualLayout>
              <c:xMode val="edge"/>
              <c:yMode val="edge"/>
              <c:x val="0.25434925897420718"/>
              <c:y val="0.91256502028155551"/>
            </c:manualLayout>
          </c:layout>
        </c:title>
        <c:numFmt formatCode="General" sourceLinked="1"/>
        <c:tickLblPos val="nextTo"/>
        <c:spPr>
          <a:ln w="9525">
            <a:solidFill>
              <a:sysClr val="windowText" lastClr="000000"/>
            </a:solidFill>
          </a:ln>
        </c:spPr>
        <c:txPr>
          <a:bodyPr/>
          <a:lstStyle/>
          <a:p>
            <a:pPr>
              <a:defRPr b="1" i="0" baseline="0"/>
            </a:pPr>
            <a:endParaRPr lang="fr-FR"/>
          </a:p>
        </c:txPr>
        <c:crossAx val="63705088"/>
        <c:crosses val="autoZero"/>
        <c:auto val="1"/>
        <c:lblAlgn val="ctr"/>
        <c:lblOffset val="100"/>
      </c:catAx>
      <c:valAx>
        <c:axId val="63705088"/>
        <c:scaling>
          <c:orientation val="minMax"/>
          <c:max val="5"/>
          <c:min val="4.3"/>
        </c:scaling>
        <c:axPos val="l"/>
        <c:title>
          <c:tx>
            <c:rich>
              <a:bodyPr rot="-5400000" vert="horz"/>
              <a:lstStyle/>
              <a:p>
                <a:pPr>
                  <a:defRPr>
                    <a:latin typeface="Times New Roman" pitchFamily="18" charset="0"/>
                    <a:cs typeface="Times New Roman" pitchFamily="18" charset="0"/>
                  </a:defRPr>
                </a:pPr>
                <a:r>
                  <a:rPr lang="en-US">
                    <a:latin typeface="Times New Roman" pitchFamily="18" charset="0"/>
                    <a:cs typeface="Times New Roman" pitchFamily="18" charset="0"/>
                  </a:rPr>
                  <a:t>pH</a:t>
                </a:r>
              </a:p>
            </c:rich>
          </c:tx>
          <c:layout/>
        </c:title>
        <c:numFmt formatCode="General" sourceLinked="1"/>
        <c:tickLblPos val="nextTo"/>
        <c:spPr>
          <a:ln w="9525">
            <a:solidFill>
              <a:sysClr val="windowText" lastClr="000000"/>
            </a:solidFill>
          </a:ln>
        </c:spPr>
        <c:txPr>
          <a:bodyPr/>
          <a:lstStyle/>
          <a:p>
            <a:pPr>
              <a:defRPr b="1" i="0" baseline="0"/>
            </a:pPr>
            <a:endParaRPr lang="fr-FR"/>
          </a:p>
        </c:txPr>
        <c:crossAx val="63690240"/>
        <c:crosses val="autoZero"/>
        <c:crossBetween val="midCat"/>
      </c:valAx>
    </c:plotArea>
    <c:plotVisOnly val="1"/>
    <c:dispBlanksAs val="gap"/>
  </c:chart>
  <c:spPr>
    <a:ln>
      <a:noFill/>
    </a:ln>
  </c:spPr>
  <c:externalData r:id="rId1"/>
  <c:userShapes r:id="rId2"/>
</c:chartSpace>
</file>

<file path=word/charts/chart67.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a:pPr>
            <a:r>
              <a:rPr lang="fr-FR" sz="1800" b="0">
                <a:latin typeface="Times New Roman" pitchFamily="18" charset="0"/>
                <a:cs typeface="Times New Roman" pitchFamily="18" charset="0"/>
              </a:rPr>
              <a:t>D</a:t>
            </a:r>
          </a:p>
        </c:rich>
      </c:tx>
      <c:layout>
        <c:manualLayout>
          <c:xMode val="edge"/>
          <c:yMode val="edge"/>
          <c:x val="2.5146014642906483E-2"/>
          <c:y val="0"/>
        </c:manualLayout>
      </c:layout>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23764829396325471"/>
          <c:y val="0.12881803354827603"/>
          <c:w val="0.64838053138094576"/>
          <c:h val="0.67547130682738765"/>
        </c:manualLayout>
      </c:layout>
      <c:lineChart>
        <c:grouping val="standard"/>
        <c:ser>
          <c:idx val="0"/>
          <c:order val="0"/>
          <c:tx>
            <c:strRef>
              <c:f>Sheet2!$B$89</c:f>
              <c:strCache>
                <c:ptCount val="1"/>
                <c:pt idx="0">
                  <c:v>1 (Temoin)</c:v>
                </c:pt>
              </c:strCache>
            </c:strRef>
          </c:tx>
          <c:spPr>
            <a:ln w="12700"/>
          </c:spPr>
          <c:errBars>
            <c:errDir val="y"/>
            <c:errBarType val="both"/>
            <c:errValType val="cust"/>
            <c:plus>
              <c:numRef>
                <c:f>Sheet1!$I$37:$M$37</c:f>
                <c:numCache>
                  <c:formatCode>General</c:formatCode>
                  <c:ptCount val="5"/>
                  <c:pt idx="0">
                    <c:v>1.0000000000000005E-2</c:v>
                  </c:pt>
                  <c:pt idx="1">
                    <c:v>1.4999999999999998E-2</c:v>
                  </c:pt>
                  <c:pt idx="2">
                    <c:v>1.7999999999999999E-2</c:v>
                  </c:pt>
                  <c:pt idx="3">
                    <c:v>2.0000000000000011E-2</c:v>
                  </c:pt>
                  <c:pt idx="4">
                    <c:v>1.0000000000000005E-2</c:v>
                  </c:pt>
                </c:numCache>
              </c:numRef>
            </c:plus>
            <c:minus>
              <c:numRef>
                <c:f>Sheet1!$I$37:$M$37</c:f>
                <c:numCache>
                  <c:formatCode>General</c:formatCode>
                  <c:ptCount val="5"/>
                  <c:pt idx="0">
                    <c:v>1.0000000000000005E-2</c:v>
                  </c:pt>
                  <c:pt idx="1">
                    <c:v>1.4999999999999998E-2</c:v>
                  </c:pt>
                  <c:pt idx="2">
                    <c:v>1.7999999999999999E-2</c:v>
                  </c:pt>
                  <c:pt idx="3">
                    <c:v>2.0000000000000011E-2</c:v>
                  </c:pt>
                  <c:pt idx="4">
                    <c:v>1.0000000000000005E-2</c:v>
                  </c:pt>
                </c:numCache>
              </c:numRef>
            </c:minus>
          </c:errBars>
          <c:cat>
            <c:strRef>
              <c:f>Sheet2!$A$90:$A$93</c:f>
              <c:strCache>
                <c:ptCount val="4"/>
                <c:pt idx="0">
                  <c:v>7 j</c:v>
                </c:pt>
                <c:pt idx="1">
                  <c:v>14 j</c:v>
                </c:pt>
                <c:pt idx="2">
                  <c:v>21 j</c:v>
                </c:pt>
                <c:pt idx="3">
                  <c:v>28 j</c:v>
                </c:pt>
              </c:strCache>
            </c:strRef>
          </c:cat>
          <c:val>
            <c:numRef>
              <c:f>Sheet2!$B$90:$B$93</c:f>
              <c:numCache>
                <c:formatCode>General</c:formatCode>
                <c:ptCount val="4"/>
                <c:pt idx="0">
                  <c:v>4.8899999999999997</c:v>
                </c:pt>
                <c:pt idx="1">
                  <c:v>4.83</c:v>
                </c:pt>
                <c:pt idx="2">
                  <c:v>4.7699999999999996</c:v>
                </c:pt>
                <c:pt idx="3">
                  <c:v>4.71</c:v>
                </c:pt>
              </c:numCache>
            </c:numRef>
          </c:val>
        </c:ser>
        <c:ser>
          <c:idx val="1"/>
          <c:order val="1"/>
          <c:tx>
            <c:strRef>
              <c:f>Sheet2!$C$89</c:f>
              <c:strCache>
                <c:ptCount val="1"/>
                <c:pt idx="0">
                  <c:v>2 (Lactoserum)</c:v>
                </c:pt>
              </c:strCache>
            </c:strRef>
          </c:tx>
          <c:spPr>
            <a:ln w="12700">
              <a:solidFill>
                <a:srgbClr val="FF9900"/>
              </a:solidFill>
            </a:ln>
          </c:spPr>
          <c:marker>
            <c:symbol val="square"/>
            <c:size val="4"/>
            <c:spPr>
              <a:solidFill>
                <a:srgbClr val="FF9900"/>
              </a:solidFill>
              <a:ln>
                <a:solidFill>
                  <a:srgbClr val="FF9900"/>
                </a:solidFill>
              </a:ln>
            </c:spPr>
          </c:marker>
          <c:errBars>
            <c:errDir val="y"/>
            <c:errBarType val="both"/>
            <c:errValType val="cust"/>
            <c:plus>
              <c:numRef>
                <c:f>Sheet1!$I$38:$M$38</c:f>
                <c:numCache>
                  <c:formatCode>General</c:formatCode>
                  <c:ptCount val="5"/>
                  <c:pt idx="0">
                    <c:v>8.0000000000000227E-3</c:v>
                  </c:pt>
                  <c:pt idx="1">
                    <c:v>1.9000000000000097E-2</c:v>
                  </c:pt>
                  <c:pt idx="2">
                    <c:v>1.7000000000000001E-2</c:v>
                  </c:pt>
                  <c:pt idx="3">
                    <c:v>2.4E-2</c:v>
                  </c:pt>
                  <c:pt idx="4">
                    <c:v>1.4999999999999998E-2</c:v>
                  </c:pt>
                </c:numCache>
              </c:numRef>
            </c:plus>
            <c:minus>
              <c:numRef>
                <c:f>Sheet1!$I$38:$M$38</c:f>
                <c:numCache>
                  <c:formatCode>General</c:formatCode>
                  <c:ptCount val="5"/>
                  <c:pt idx="0">
                    <c:v>8.0000000000000227E-3</c:v>
                  </c:pt>
                  <c:pt idx="1">
                    <c:v>1.9000000000000097E-2</c:v>
                  </c:pt>
                  <c:pt idx="2">
                    <c:v>1.7000000000000001E-2</c:v>
                  </c:pt>
                  <c:pt idx="3">
                    <c:v>2.4E-2</c:v>
                  </c:pt>
                  <c:pt idx="4">
                    <c:v>1.4999999999999998E-2</c:v>
                  </c:pt>
                </c:numCache>
              </c:numRef>
            </c:minus>
          </c:errBars>
          <c:cat>
            <c:strRef>
              <c:f>Sheet2!$A$90:$A$93</c:f>
              <c:strCache>
                <c:ptCount val="4"/>
                <c:pt idx="0">
                  <c:v>7 j</c:v>
                </c:pt>
                <c:pt idx="1">
                  <c:v>14 j</c:v>
                </c:pt>
                <c:pt idx="2">
                  <c:v>21 j</c:v>
                </c:pt>
                <c:pt idx="3">
                  <c:v>28 j</c:v>
                </c:pt>
              </c:strCache>
            </c:strRef>
          </c:cat>
          <c:val>
            <c:numRef>
              <c:f>Sheet2!$C$90:$C$93</c:f>
              <c:numCache>
                <c:formatCode>General</c:formatCode>
                <c:ptCount val="4"/>
                <c:pt idx="0">
                  <c:v>4.71</c:v>
                </c:pt>
                <c:pt idx="1">
                  <c:v>4.55</c:v>
                </c:pt>
                <c:pt idx="2">
                  <c:v>4.4800000000000004</c:v>
                </c:pt>
                <c:pt idx="3">
                  <c:v>4.42</c:v>
                </c:pt>
              </c:numCache>
            </c:numRef>
          </c:val>
        </c:ser>
        <c:ser>
          <c:idx val="2"/>
          <c:order val="2"/>
          <c:tx>
            <c:strRef>
              <c:f>Sheet2!$D$89</c:f>
              <c:strCache>
                <c:ptCount val="1"/>
                <c:pt idx="0">
                  <c:v>3 (Promilk)</c:v>
                </c:pt>
              </c:strCache>
            </c:strRef>
          </c:tx>
          <c:spPr>
            <a:ln w="12700">
              <a:solidFill>
                <a:srgbClr val="92D050"/>
              </a:solidFill>
            </a:ln>
          </c:spPr>
          <c:marker>
            <c:spPr>
              <a:solidFill>
                <a:srgbClr val="92D050"/>
              </a:solidFill>
              <a:ln>
                <a:solidFill>
                  <a:srgbClr val="92D050"/>
                </a:solidFill>
              </a:ln>
            </c:spPr>
          </c:marker>
          <c:errBars>
            <c:errDir val="y"/>
            <c:errBarType val="both"/>
            <c:errValType val="cust"/>
            <c:plus>
              <c:numRef>
                <c:f>Sheet1!$I$39:$M$39</c:f>
                <c:numCache>
                  <c:formatCode>General</c:formatCode>
                  <c:ptCount val="5"/>
                  <c:pt idx="0">
                    <c:v>1.6000000000000021E-2</c:v>
                  </c:pt>
                  <c:pt idx="1">
                    <c:v>1.7000000000000001E-2</c:v>
                  </c:pt>
                  <c:pt idx="2">
                    <c:v>1.2E-2</c:v>
                  </c:pt>
                  <c:pt idx="3">
                    <c:v>2.8000000000000001E-2</c:v>
                  </c:pt>
                  <c:pt idx="4">
                    <c:v>1.6000000000000021E-2</c:v>
                  </c:pt>
                </c:numCache>
              </c:numRef>
            </c:plus>
            <c:minus>
              <c:numRef>
                <c:f>Sheet1!$I$39:$M$39</c:f>
                <c:numCache>
                  <c:formatCode>General</c:formatCode>
                  <c:ptCount val="5"/>
                  <c:pt idx="0">
                    <c:v>1.6000000000000021E-2</c:v>
                  </c:pt>
                  <c:pt idx="1">
                    <c:v>1.7000000000000001E-2</c:v>
                  </c:pt>
                  <c:pt idx="2">
                    <c:v>1.2E-2</c:v>
                  </c:pt>
                  <c:pt idx="3">
                    <c:v>2.8000000000000001E-2</c:v>
                  </c:pt>
                  <c:pt idx="4">
                    <c:v>1.6000000000000021E-2</c:v>
                  </c:pt>
                </c:numCache>
              </c:numRef>
            </c:minus>
          </c:errBars>
          <c:cat>
            <c:strRef>
              <c:f>Sheet2!$A$90:$A$93</c:f>
              <c:strCache>
                <c:ptCount val="4"/>
                <c:pt idx="0">
                  <c:v>7 j</c:v>
                </c:pt>
                <c:pt idx="1">
                  <c:v>14 j</c:v>
                </c:pt>
                <c:pt idx="2">
                  <c:v>21 j</c:v>
                </c:pt>
                <c:pt idx="3">
                  <c:v>28 j</c:v>
                </c:pt>
              </c:strCache>
            </c:strRef>
          </c:cat>
          <c:val>
            <c:numRef>
              <c:f>Sheet2!$D$90:$D$93</c:f>
              <c:numCache>
                <c:formatCode>General</c:formatCode>
                <c:ptCount val="4"/>
                <c:pt idx="0">
                  <c:v>4.87</c:v>
                </c:pt>
                <c:pt idx="1">
                  <c:v>4.72</c:v>
                </c:pt>
                <c:pt idx="2">
                  <c:v>4.6399999999999997</c:v>
                </c:pt>
                <c:pt idx="3">
                  <c:v>4.53</c:v>
                </c:pt>
              </c:numCache>
            </c:numRef>
          </c:val>
        </c:ser>
        <c:ser>
          <c:idx val="3"/>
          <c:order val="3"/>
          <c:tx>
            <c:strRef>
              <c:f>Sheet2!$E$89</c:f>
              <c:strCache>
                <c:ptCount val="1"/>
                <c:pt idx="0">
                  <c:v>4 (H. Caseine)</c:v>
                </c:pt>
              </c:strCache>
            </c:strRef>
          </c:tx>
          <c:spPr>
            <a:ln w="12700">
              <a:solidFill>
                <a:srgbClr val="990099"/>
              </a:solidFill>
            </a:ln>
          </c:spPr>
          <c:marker>
            <c:spPr>
              <a:solidFill>
                <a:srgbClr val="990099"/>
              </a:solidFill>
              <a:ln>
                <a:solidFill>
                  <a:srgbClr val="990099"/>
                </a:solidFill>
              </a:ln>
            </c:spPr>
          </c:marker>
          <c:errBars>
            <c:errDir val="y"/>
            <c:errBarType val="both"/>
            <c:errValType val="cust"/>
            <c:plus>
              <c:numRef>
                <c:f>Sheet1!$I$40:$M$40</c:f>
                <c:numCache>
                  <c:formatCode>General</c:formatCode>
                  <c:ptCount val="5"/>
                  <c:pt idx="0">
                    <c:v>1.4999999999999998E-2</c:v>
                  </c:pt>
                  <c:pt idx="1">
                    <c:v>1.4E-2</c:v>
                  </c:pt>
                  <c:pt idx="2">
                    <c:v>1.2E-2</c:v>
                  </c:pt>
                  <c:pt idx="3">
                    <c:v>1.4E-2</c:v>
                  </c:pt>
                  <c:pt idx="4">
                    <c:v>1.0000000000000005E-2</c:v>
                  </c:pt>
                </c:numCache>
              </c:numRef>
            </c:plus>
            <c:minus>
              <c:numRef>
                <c:f>Sheet1!$I$40:$M$40</c:f>
                <c:numCache>
                  <c:formatCode>General</c:formatCode>
                  <c:ptCount val="5"/>
                  <c:pt idx="0">
                    <c:v>1.4999999999999998E-2</c:v>
                  </c:pt>
                  <c:pt idx="1">
                    <c:v>1.4E-2</c:v>
                  </c:pt>
                  <c:pt idx="2">
                    <c:v>1.2E-2</c:v>
                  </c:pt>
                  <c:pt idx="3">
                    <c:v>1.4E-2</c:v>
                  </c:pt>
                  <c:pt idx="4">
                    <c:v>1.0000000000000005E-2</c:v>
                  </c:pt>
                </c:numCache>
              </c:numRef>
            </c:minus>
          </c:errBars>
          <c:cat>
            <c:strRef>
              <c:f>Sheet2!$A$90:$A$93</c:f>
              <c:strCache>
                <c:ptCount val="4"/>
                <c:pt idx="0">
                  <c:v>7 j</c:v>
                </c:pt>
                <c:pt idx="1">
                  <c:v>14 j</c:v>
                </c:pt>
                <c:pt idx="2">
                  <c:v>21 j</c:v>
                </c:pt>
                <c:pt idx="3">
                  <c:v>28 j</c:v>
                </c:pt>
              </c:strCache>
            </c:strRef>
          </c:cat>
          <c:val>
            <c:numRef>
              <c:f>Sheet2!$E$90:$E$93</c:f>
              <c:numCache>
                <c:formatCode>General</c:formatCode>
                <c:ptCount val="4"/>
                <c:pt idx="0">
                  <c:v>4.8099999999999996</c:v>
                </c:pt>
                <c:pt idx="1">
                  <c:v>4.68</c:v>
                </c:pt>
                <c:pt idx="2">
                  <c:v>4.58</c:v>
                </c:pt>
                <c:pt idx="3">
                  <c:v>4.51</c:v>
                </c:pt>
              </c:numCache>
            </c:numRef>
          </c:val>
        </c:ser>
        <c:ser>
          <c:idx val="4"/>
          <c:order val="4"/>
          <c:tx>
            <c:strRef>
              <c:f>Sheet2!$F$89</c:f>
              <c:strCache>
                <c:ptCount val="1"/>
                <c:pt idx="0">
                  <c:v>5 (H. Proteine)</c:v>
                </c:pt>
              </c:strCache>
            </c:strRef>
          </c:tx>
          <c:spPr>
            <a:ln w="12700">
              <a:solidFill>
                <a:srgbClr val="FF33CC"/>
              </a:solidFill>
            </a:ln>
          </c:spPr>
          <c:marker>
            <c:symbol val="circle"/>
            <c:size val="4"/>
            <c:spPr>
              <a:solidFill>
                <a:srgbClr val="FF33CC"/>
              </a:solidFill>
              <a:ln>
                <a:solidFill>
                  <a:srgbClr val="FF33CC"/>
                </a:solidFill>
              </a:ln>
            </c:spPr>
          </c:marker>
          <c:cat>
            <c:strRef>
              <c:f>Sheet2!$A$90:$A$93</c:f>
              <c:strCache>
                <c:ptCount val="4"/>
                <c:pt idx="0">
                  <c:v>7 j</c:v>
                </c:pt>
                <c:pt idx="1">
                  <c:v>14 j</c:v>
                </c:pt>
                <c:pt idx="2">
                  <c:v>21 j</c:v>
                </c:pt>
                <c:pt idx="3">
                  <c:v>28 j</c:v>
                </c:pt>
              </c:strCache>
            </c:strRef>
          </c:cat>
          <c:val>
            <c:numRef>
              <c:f>Sheet2!$F$90:$F$93</c:f>
              <c:numCache>
                <c:formatCode>General</c:formatCode>
                <c:ptCount val="4"/>
                <c:pt idx="0">
                  <c:v>4.8499999999999996</c:v>
                </c:pt>
                <c:pt idx="1">
                  <c:v>4.7</c:v>
                </c:pt>
                <c:pt idx="2">
                  <c:v>4.6099999999999985</c:v>
                </c:pt>
                <c:pt idx="3">
                  <c:v>4.51</c:v>
                </c:pt>
              </c:numCache>
            </c:numRef>
          </c:val>
        </c:ser>
        <c:marker val="1"/>
        <c:axId val="63762432"/>
        <c:axId val="63764736"/>
      </c:lineChart>
      <c:catAx>
        <c:axId val="63762432"/>
        <c:scaling>
          <c:orientation val="minMax"/>
        </c:scaling>
        <c:axPos val="b"/>
        <c:title>
          <c:tx>
            <c:rich>
              <a:bodyPr/>
              <a:lstStyle/>
              <a:p>
                <a:pPr>
                  <a:defRPr sz="1000" b="1" i="0" u="none" strike="noStrike" baseline="0">
                    <a:solidFill>
                      <a:srgbClr val="000000"/>
                    </a:solidFill>
                    <a:latin typeface="Times New Roman"/>
                    <a:ea typeface="Times New Roman"/>
                    <a:cs typeface="Times New Roman"/>
                  </a:defRPr>
                </a:pPr>
                <a:r>
                  <a:rPr lang="fr-FR"/>
                  <a:t>Entreposage</a:t>
                </a:r>
                <a:r>
                  <a:rPr lang="fr-FR" baseline="0"/>
                  <a:t> à +4°C en </a:t>
                </a:r>
                <a:r>
                  <a:rPr lang="fr-FR"/>
                  <a:t>jours</a:t>
                </a:r>
              </a:p>
            </c:rich>
          </c:tx>
          <c:layout>
            <c:manualLayout>
              <c:xMode val="edge"/>
              <c:yMode val="edge"/>
              <c:x val="0.26907952295436782"/>
              <c:y val="0.91666720672261648"/>
            </c:manualLayout>
          </c:layout>
        </c:title>
        <c:numFmt formatCode="General" sourceLinked="1"/>
        <c:tickLblPos val="nextTo"/>
        <c:spPr>
          <a:ln w="9525">
            <a:solidFill>
              <a:sysClr val="windowText" lastClr="000000"/>
            </a:solidFill>
          </a:ln>
        </c:spPr>
        <c:txPr>
          <a:bodyPr rot="0" vert="horz"/>
          <a:lstStyle/>
          <a:p>
            <a:pPr>
              <a:defRPr sz="1000" b="1" i="0" u="none" strike="noStrike" baseline="0">
                <a:solidFill>
                  <a:srgbClr val="000000"/>
                </a:solidFill>
                <a:latin typeface="Calibri"/>
                <a:ea typeface="Calibri"/>
                <a:cs typeface="Calibri"/>
              </a:defRPr>
            </a:pPr>
            <a:endParaRPr lang="fr-FR"/>
          </a:p>
        </c:txPr>
        <c:crossAx val="63764736"/>
        <c:crosses val="autoZero"/>
        <c:auto val="1"/>
        <c:lblAlgn val="ctr"/>
        <c:lblOffset val="100"/>
      </c:catAx>
      <c:valAx>
        <c:axId val="63764736"/>
        <c:scaling>
          <c:orientation val="minMax"/>
          <c:max val="5"/>
          <c:min val="4.3"/>
        </c:scaling>
        <c:axPos val="l"/>
        <c:title>
          <c:tx>
            <c:rich>
              <a:bodyPr/>
              <a:lstStyle/>
              <a:p>
                <a:pPr>
                  <a:defRPr sz="1000" b="1" i="0" u="none" strike="noStrike" baseline="0">
                    <a:solidFill>
                      <a:srgbClr val="000000"/>
                    </a:solidFill>
                    <a:latin typeface="Times New Roman"/>
                    <a:ea typeface="Times New Roman"/>
                    <a:cs typeface="Times New Roman"/>
                  </a:defRPr>
                </a:pPr>
                <a:r>
                  <a:rPr lang="fr-FR"/>
                  <a:t>pH</a:t>
                </a:r>
              </a:p>
            </c:rich>
          </c:tx>
          <c:layout/>
        </c:title>
        <c:numFmt formatCode="General" sourceLinked="1"/>
        <c:tickLblPos val="nextTo"/>
        <c:spPr>
          <a:ln w="9525">
            <a:solidFill>
              <a:sysClr val="windowText" lastClr="000000"/>
            </a:solidFill>
          </a:ln>
        </c:spPr>
        <c:txPr>
          <a:bodyPr rot="0" vert="horz"/>
          <a:lstStyle/>
          <a:p>
            <a:pPr>
              <a:defRPr sz="1000" b="1" i="0" u="none" strike="noStrike" baseline="0">
                <a:solidFill>
                  <a:srgbClr val="000000"/>
                </a:solidFill>
                <a:latin typeface="Calibri"/>
                <a:ea typeface="Calibri"/>
                <a:cs typeface="Calibri"/>
              </a:defRPr>
            </a:pPr>
            <a:endParaRPr lang="fr-FR"/>
          </a:p>
        </c:txPr>
        <c:crossAx val="63762432"/>
        <c:crosses val="autoZero"/>
        <c:crossBetween val="midCat"/>
        <c:majorUnit val="0.1"/>
      </c:valAx>
    </c:plotArea>
    <c:plotVisOnly val="1"/>
    <c:dispBlanksAs val="gap"/>
  </c:chart>
  <c:spPr>
    <a:ln>
      <a:solidFill>
        <a:schemeClr val="bg1"/>
      </a:solidFill>
    </a:ln>
  </c:spPr>
  <c:txPr>
    <a:bodyPr/>
    <a:lstStyle/>
    <a:p>
      <a:pPr>
        <a:defRPr sz="1000" b="0" i="0" u="none" strike="noStrike" baseline="0">
          <a:solidFill>
            <a:srgbClr val="000000"/>
          </a:solidFill>
          <a:latin typeface="Calibri"/>
          <a:ea typeface="Calibri"/>
          <a:cs typeface="Calibri"/>
        </a:defRPr>
      </a:pPr>
      <a:endParaRPr lang="fr-FR"/>
    </a:p>
  </c:txPr>
  <c:externalData r:id="rId1"/>
  <c:userShapes r:id="rId2"/>
</c:chartSpace>
</file>

<file path=word/charts/chart68.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a:pPr>
            <a:r>
              <a:rPr lang="fr-FR" b="0"/>
              <a:t>C</a:t>
            </a:r>
          </a:p>
        </c:rich>
      </c:tx>
      <c:layout>
        <c:manualLayout>
          <c:xMode val="edge"/>
          <c:yMode val="edge"/>
          <c:x val="3.8244554929747878E-3"/>
          <c:y val="0"/>
        </c:manualLayout>
      </c:layout>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20686695905365857"/>
          <c:y val="9.6424821897263216E-2"/>
          <c:w val="0.72657060708004662"/>
          <c:h val="0.70390888638920301"/>
        </c:manualLayout>
      </c:layout>
      <c:lineChart>
        <c:grouping val="standard"/>
        <c:ser>
          <c:idx val="0"/>
          <c:order val="0"/>
          <c:tx>
            <c:strRef>
              <c:f>Feuil1!$B$98</c:f>
              <c:strCache>
                <c:ptCount val="1"/>
                <c:pt idx="0">
                  <c:v>1 (Temoin)</c:v>
                </c:pt>
              </c:strCache>
            </c:strRef>
          </c:tx>
          <c:spPr>
            <a:ln w="12700"/>
          </c:spPr>
          <c:errBars>
            <c:errDir val="y"/>
            <c:errBarType val="both"/>
            <c:errValType val="cust"/>
            <c:plus>
              <c:numRef>
                <c:f>[1]Sheet2!$I$87:$I$90</c:f>
                <c:numCache>
                  <c:formatCode>General</c:formatCode>
                  <c:ptCount val="4"/>
                  <c:pt idx="0">
                    <c:v>1.9000000000000097E-2</c:v>
                  </c:pt>
                  <c:pt idx="1">
                    <c:v>1.4E-2</c:v>
                  </c:pt>
                  <c:pt idx="2">
                    <c:v>2.3E-2</c:v>
                  </c:pt>
                  <c:pt idx="3">
                    <c:v>1.4999999999999998E-2</c:v>
                  </c:pt>
                </c:numCache>
              </c:numRef>
            </c:plus>
            <c:minus>
              <c:numRef>
                <c:f>[1]Sheet2!$I$87:$I$90</c:f>
                <c:numCache>
                  <c:formatCode>General</c:formatCode>
                  <c:ptCount val="4"/>
                  <c:pt idx="0">
                    <c:v>1.9000000000000097E-2</c:v>
                  </c:pt>
                  <c:pt idx="1">
                    <c:v>1.4E-2</c:v>
                  </c:pt>
                  <c:pt idx="2">
                    <c:v>2.3E-2</c:v>
                  </c:pt>
                  <c:pt idx="3">
                    <c:v>1.4999999999999998E-2</c:v>
                  </c:pt>
                </c:numCache>
              </c:numRef>
            </c:minus>
          </c:errBars>
          <c:cat>
            <c:strRef>
              <c:f>Feuil1!$A$99:$A$102</c:f>
              <c:strCache>
                <c:ptCount val="4"/>
                <c:pt idx="0">
                  <c:v>7 j</c:v>
                </c:pt>
                <c:pt idx="1">
                  <c:v>14 j</c:v>
                </c:pt>
                <c:pt idx="2">
                  <c:v>21 j</c:v>
                </c:pt>
                <c:pt idx="3">
                  <c:v>28 j</c:v>
                </c:pt>
              </c:strCache>
            </c:strRef>
          </c:cat>
          <c:val>
            <c:numRef>
              <c:f>Feuil1!$B$99:$B$102</c:f>
              <c:numCache>
                <c:formatCode>General</c:formatCode>
                <c:ptCount val="4"/>
                <c:pt idx="0">
                  <c:v>4.88</c:v>
                </c:pt>
                <c:pt idx="1">
                  <c:v>4.84</c:v>
                </c:pt>
                <c:pt idx="2">
                  <c:v>4.79</c:v>
                </c:pt>
                <c:pt idx="3">
                  <c:v>4.72</c:v>
                </c:pt>
              </c:numCache>
            </c:numRef>
          </c:val>
        </c:ser>
        <c:ser>
          <c:idx val="1"/>
          <c:order val="1"/>
          <c:tx>
            <c:strRef>
              <c:f>Feuil1!$C$98</c:f>
              <c:strCache>
                <c:ptCount val="1"/>
                <c:pt idx="0">
                  <c:v>2 (Lactoserum)</c:v>
                </c:pt>
              </c:strCache>
            </c:strRef>
          </c:tx>
          <c:spPr>
            <a:ln w="12700">
              <a:solidFill>
                <a:srgbClr val="FF9900"/>
              </a:solidFill>
            </a:ln>
          </c:spPr>
          <c:marker>
            <c:symbol val="square"/>
            <c:size val="5"/>
            <c:spPr>
              <a:solidFill>
                <a:srgbClr val="FF9900"/>
              </a:solidFill>
              <a:ln>
                <a:solidFill>
                  <a:srgbClr val="FF9900"/>
                </a:solidFill>
              </a:ln>
            </c:spPr>
          </c:marker>
          <c:errBars>
            <c:errDir val="y"/>
            <c:errBarType val="both"/>
            <c:errValType val="cust"/>
            <c:plus>
              <c:numRef>
                <c:f>[1]Sheet2!$J$87:$J$90</c:f>
                <c:numCache>
                  <c:formatCode>General</c:formatCode>
                  <c:ptCount val="4"/>
                  <c:pt idx="0">
                    <c:v>2.5000000000000001E-2</c:v>
                  </c:pt>
                  <c:pt idx="1">
                    <c:v>2.5000000000000001E-2</c:v>
                  </c:pt>
                  <c:pt idx="2">
                    <c:v>2.4E-2</c:v>
                  </c:pt>
                  <c:pt idx="3">
                    <c:v>2.5999999999999999E-2</c:v>
                  </c:pt>
                </c:numCache>
              </c:numRef>
            </c:plus>
            <c:minus>
              <c:numRef>
                <c:f>[1]Sheet2!$J$87:$J$90</c:f>
                <c:numCache>
                  <c:formatCode>General</c:formatCode>
                  <c:ptCount val="4"/>
                  <c:pt idx="0">
                    <c:v>2.5000000000000001E-2</c:v>
                  </c:pt>
                  <c:pt idx="1">
                    <c:v>2.5000000000000001E-2</c:v>
                  </c:pt>
                  <c:pt idx="2">
                    <c:v>2.4E-2</c:v>
                  </c:pt>
                  <c:pt idx="3">
                    <c:v>2.5999999999999999E-2</c:v>
                  </c:pt>
                </c:numCache>
              </c:numRef>
            </c:minus>
          </c:errBars>
          <c:cat>
            <c:strRef>
              <c:f>Feuil1!$A$99:$A$102</c:f>
              <c:strCache>
                <c:ptCount val="4"/>
                <c:pt idx="0">
                  <c:v>7 j</c:v>
                </c:pt>
                <c:pt idx="1">
                  <c:v>14 j</c:v>
                </c:pt>
                <c:pt idx="2">
                  <c:v>21 j</c:v>
                </c:pt>
                <c:pt idx="3">
                  <c:v>28 j</c:v>
                </c:pt>
              </c:strCache>
            </c:strRef>
          </c:cat>
          <c:val>
            <c:numRef>
              <c:f>Feuil1!$C$99:$C$102</c:f>
              <c:numCache>
                <c:formatCode>General</c:formatCode>
                <c:ptCount val="4"/>
                <c:pt idx="0">
                  <c:v>4.74</c:v>
                </c:pt>
                <c:pt idx="1">
                  <c:v>4.58</c:v>
                </c:pt>
                <c:pt idx="2">
                  <c:v>4.53</c:v>
                </c:pt>
                <c:pt idx="3">
                  <c:v>4.4800000000000004</c:v>
                </c:pt>
              </c:numCache>
            </c:numRef>
          </c:val>
        </c:ser>
        <c:ser>
          <c:idx val="2"/>
          <c:order val="2"/>
          <c:tx>
            <c:strRef>
              <c:f>Feuil1!$D$98</c:f>
              <c:strCache>
                <c:ptCount val="1"/>
                <c:pt idx="0">
                  <c:v>3 (Promilk)</c:v>
                </c:pt>
              </c:strCache>
            </c:strRef>
          </c:tx>
          <c:spPr>
            <a:ln w="12700">
              <a:solidFill>
                <a:srgbClr val="92D050"/>
              </a:solidFill>
            </a:ln>
          </c:spPr>
          <c:marker>
            <c:spPr>
              <a:solidFill>
                <a:srgbClr val="92D050"/>
              </a:solidFill>
              <a:ln>
                <a:solidFill>
                  <a:srgbClr val="92D050"/>
                </a:solidFill>
              </a:ln>
            </c:spPr>
          </c:marker>
          <c:errBars>
            <c:errDir val="y"/>
            <c:errBarType val="both"/>
            <c:errValType val="cust"/>
            <c:plus>
              <c:numRef>
                <c:f>[1]Sheet2!$K$87:$K$90</c:f>
                <c:numCache>
                  <c:formatCode>General</c:formatCode>
                  <c:ptCount val="4"/>
                  <c:pt idx="0">
                    <c:v>2.3E-2</c:v>
                  </c:pt>
                  <c:pt idx="1">
                    <c:v>1.6000000000000021E-2</c:v>
                  </c:pt>
                  <c:pt idx="2">
                    <c:v>2.1999999999999999E-2</c:v>
                  </c:pt>
                  <c:pt idx="3">
                    <c:v>2.5999999999999999E-2</c:v>
                  </c:pt>
                </c:numCache>
              </c:numRef>
            </c:plus>
            <c:minus>
              <c:numRef>
                <c:f>[1]Sheet2!$K$87:$K$90</c:f>
                <c:numCache>
                  <c:formatCode>General</c:formatCode>
                  <c:ptCount val="4"/>
                  <c:pt idx="0">
                    <c:v>2.3E-2</c:v>
                  </c:pt>
                  <c:pt idx="1">
                    <c:v>1.6000000000000021E-2</c:v>
                  </c:pt>
                  <c:pt idx="2">
                    <c:v>2.1999999999999999E-2</c:v>
                  </c:pt>
                  <c:pt idx="3">
                    <c:v>2.5999999999999999E-2</c:v>
                  </c:pt>
                </c:numCache>
              </c:numRef>
            </c:minus>
          </c:errBars>
          <c:cat>
            <c:strRef>
              <c:f>Feuil1!$A$99:$A$102</c:f>
              <c:strCache>
                <c:ptCount val="4"/>
                <c:pt idx="0">
                  <c:v>7 j</c:v>
                </c:pt>
                <c:pt idx="1">
                  <c:v>14 j</c:v>
                </c:pt>
                <c:pt idx="2">
                  <c:v>21 j</c:v>
                </c:pt>
                <c:pt idx="3">
                  <c:v>28 j</c:v>
                </c:pt>
              </c:strCache>
            </c:strRef>
          </c:cat>
          <c:val>
            <c:numRef>
              <c:f>Feuil1!$D$99:$D$102</c:f>
              <c:numCache>
                <c:formatCode>General</c:formatCode>
                <c:ptCount val="4"/>
                <c:pt idx="0">
                  <c:v>4.87</c:v>
                </c:pt>
                <c:pt idx="1">
                  <c:v>4.74</c:v>
                </c:pt>
                <c:pt idx="2">
                  <c:v>4.6599999999999975</c:v>
                </c:pt>
                <c:pt idx="3">
                  <c:v>4.57</c:v>
                </c:pt>
              </c:numCache>
            </c:numRef>
          </c:val>
        </c:ser>
        <c:ser>
          <c:idx val="3"/>
          <c:order val="3"/>
          <c:tx>
            <c:strRef>
              <c:f>Feuil1!$E$98</c:f>
              <c:strCache>
                <c:ptCount val="1"/>
                <c:pt idx="0">
                  <c:v>4 (H. Caseine)</c:v>
                </c:pt>
              </c:strCache>
            </c:strRef>
          </c:tx>
          <c:spPr>
            <a:ln w="12700">
              <a:solidFill>
                <a:srgbClr val="990099"/>
              </a:solidFill>
            </a:ln>
          </c:spPr>
          <c:marker>
            <c:spPr>
              <a:solidFill>
                <a:srgbClr val="990099"/>
              </a:solidFill>
              <a:ln>
                <a:solidFill>
                  <a:srgbClr val="990099"/>
                </a:solidFill>
              </a:ln>
            </c:spPr>
          </c:marker>
          <c:errBars>
            <c:errDir val="y"/>
            <c:errBarType val="both"/>
            <c:errValType val="cust"/>
            <c:plus>
              <c:numRef>
                <c:f>[1]Sheet2!$L$87:$L$90</c:f>
                <c:numCache>
                  <c:formatCode>General</c:formatCode>
                  <c:ptCount val="4"/>
                  <c:pt idx="0">
                    <c:v>2.0000000000000011E-2</c:v>
                  </c:pt>
                  <c:pt idx="1">
                    <c:v>2.0000000000000011E-2</c:v>
                  </c:pt>
                  <c:pt idx="2">
                    <c:v>1.2E-2</c:v>
                  </c:pt>
                  <c:pt idx="3">
                    <c:v>1.4999999999999998E-2</c:v>
                  </c:pt>
                </c:numCache>
              </c:numRef>
            </c:plus>
            <c:minus>
              <c:numRef>
                <c:f>[1]Sheet2!$L$87:$L$90</c:f>
                <c:numCache>
                  <c:formatCode>General</c:formatCode>
                  <c:ptCount val="4"/>
                  <c:pt idx="0">
                    <c:v>2.0000000000000011E-2</c:v>
                  </c:pt>
                  <c:pt idx="1">
                    <c:v>2.0000000000000011E-2</c:v>
                  </c:pt>
                  <c:pt idx="2">
                    <c:v>1.2E-2</c:v>
                  </c:pt>
                  <c:pt idx="3">
                    <c:v>1.4999999999999998E-2</c:v>
                  </c:pt>
                </c:numCache>
              </c:numRef>
            </c:minus>
          </c:errBars>
          <c:cat>
            <c:strRef>
              <c:f>Feuil1!$A$99:$A$102</c:f>
              <c:strCache>
                <c:ptCount val="4"/>
                <c:pt idx="0">
                  <c:v>7 j</c:v>
                </c:pt>
                <c:pt idx="1">
                  <c:v>14 j</c:v>
                </c:pt>
                <c:pt idx="2">
                  <c:v>21 j</c:v>
                </c:pt>
                <c:pt idx="3">
                  <c:v>28 j</c:v>
                </c:pt>
              </c:strCache>
            </c:strRef>
          </c:cat>
          <c:val>
            <c:numRef>
              <c:f>Feuil1!$E$99:$E$102</c:f>
              <c:numCache>
                <c:formatCode>General</c:formatCode>
                <c:ptCount val="4"/>
                <c:pt idx="0">
                  <c:v>4.79</c:v>
                </c:pt>
                <c:pt idx="1">
                  <c:v>4.6599999999999975</c:v>
                </c:pt>
                <c:pt idx="2">
                  <c:v>4.5999999999999996</c:v>
                </c:pt>
                <c:pt idx="3">
                  <c:v>4.5199999999999996</c:v>
                </c:pt>
              </c:numCache>
            </c:numRef>
          </c:val>
        </c:ser>
        <c:ser>
          <c:idx val="4"/>
          <c:order val="4"/>
          <c:tx>
            <c:strRef>
              <c:f>Feuil1!$F$98</c:f>
              <c:strCache>
                <c:ptCount val="1"/>
                <c:pt idx="0">
                  <c:v>5 (H. Proteine)</c:v>
                </c:pt>
              </c:strCache>
            </c:strRef>
          </c:tx>
          <c:spPr>
            <a:ln w="12700">
              <a:solidFill>
                <a:srgbClr val="FF33CC"/>
              </a:solidFill>
            </a:ln>
          </c:spPr>
          <c:marker>
            <c:symbol val="circle"/>
            <c:size val="4"/>
            <c:spPr>
              <a:solidFill>
                <a:srgbClr val="FF33CC"/>
              </a:solidFill>
              <a:ln>
                <a:solidFill>
                  <a:srgbClr val="FF33CC"/>
                </a:solidFill>
              </a:ln>
            </c:spPr>
          </c:marker>
          <c:cat>
            <c:strRef>
              <c:f>Feuil1!$A$99:$A$102</c:f>
              <c:strCache>
                <c:ptCount val="4"/>
                <c:pt idx="0">
                  <c:v>7 j</c:v>
                </c:pt>
                <c:pt idx="1">
                  <c:v>14 j</c:v>
                </c:pt>
                <c:pt idx="2">
                  <c:v>21 j</c:v>
                </c:pt>
                <c:pt idx="3">
                  <c:v>28 j</c:v>
                </c:pt>
              </c:strCache>
            </c:strRef>
          </c:cat>
          <c:val>
            <c:numRef>
              <c:f>Feuil1!$F$99:$F$102</c:f>
              <c:numCache>
                <c:formatCode>General</c:formatCode>
                <c:ptCount val="4"/>
                <c:pt idx="0">
                  <c:v>4.8499999999999996</c:v>
                </c:pt>
                <c:pt idx="1">
                  <c:v>4.72</c:v>
                </c:pt>
                <c:pt idx="2">
                  <c:v>4.6499999999999995</c:v>
                </c:pt>
                <c:pt idx="3">
                  <c:v>4.5599999999999996</c:v>
                </c:pt>
              </c:numCache>
            </c:numRef>
          </c:val>
        </c:ser>
        <c:marker val="1"/>
        <c:axId val="63822080"/>
        <c:axId val="63832832"/>
      </c:lineChart>
      <c:catAx>
        <c:axId val="63822080"/>
        <c:scaling>
          <c:orientation val="minMax"/>
        </c:scaling>
        <c:axPos val="b"/>
        <c:title>
          <c:tx>
            <c:rich>
              <a:bodyPr/>
              <a:lstStyle/>
              <a:p>
                <a:pPr>
                  <a:defRPr/>
                </a:pPr>
                <a:r>
                  <a:rPr lang="en-US"/>
                  <a:t>Entreposage à +4°C</a:t>
                </a:r>
                <a:r>
                  <a:rPr lang="en-US" baseline="0"/>
                  <a:t> en </a:t>
                </a:r>
                <a:r>
                  <a:rPr lang="en-US"/>
                  <a:t>jours</a:t>
                </a:r>
              </a:p>
            </c:rich>
          </c:tx>
          <c:layout>
            <c:manualLayout>
              <c:xMode val="edge"/>
              <c:yMode val="edge"/>
              <c:x val="0.29297796408542698"/>
              <c:y val="0.92452201597543959"/>
            </c:manualLayout>
          </c:layout>
        </c:title>
        <c:numFmt formatCode="General" sourceLinked="1"/>
        <c:tickLblPos val="nextTo"/>
        <c:spPr>
          <a:ln w="9525">
            <a:solidFill>
              <a:sysClr val="windowText" lastClr="000000"/>
            </a:solidFill>
          </a:ln>
        </c:spPr>
        <c:txPr>
          <a:bodyPr/>
          <a:lstStyle/>
          <a:p>
            <a:pPr>
              <a:defRPr b="1" i="0" baseline="0"/>
            </a:pPr>
            <a:endParaRPr lang="fr-FR"/>
          </a:p>
        </c:txPr>
        <c:crossAx val="63832832"/>
        <c:crosses val="autoZero"/>
        <c:auto val="1"/>
        <c:lblAlgn val="ctr"/>
        <c:lblOffset val="100"/>
      </c:catAx>
      <c:valAx>
        <c:axId val="63832832"/>
        <c:scaling>
          <c:orientation val="minMax"/>
          <c:max val="5"/>
          <c:min val="4.4000000000000004"/>
        </c:scaling>
        <c:axPos val="l"/>
        <c:title>
          <c:tx>
            <c:rich>
              <a:bodyPr rot="-5400000" vert="horz"/>
              <a:lstStyle/>
              <a:p>
                <a:pPr>
                  <a:defRPr/>
                </a:pPr>
                <a:r>
                  <a:rPr lang="en-US"/>
                  <a:t>pH</a:t>
                </a:r>
              </a:p>
            </c:rich>
          </c:tx>
          <c:layout/>
        </c:title>
        <c:numFmt formatCode="General" sourceLinked="1"/>
        <c:tickLblPos val="nextTo"/>
        <c:spPr>
          <a:ln w="9525">
            <a:solidFill>
              <a:schemeClr val="tx1"/>
            </a:solidFill>
          </a:ln>
        </c:spPr>
        <c:txPr>
          <a:bodyPr/>
          <a:lstStyle/>
          <a:p>
            <a:pPr>
              <a:defRPr b="1" i="0" baseline="0"/>
            </a:pPr>
            <a:endParaRPr lang="fr-FR"/>
          </a:p>
        </c:txPr>
        <c:crossAx val="63822080"/>
        <c:crosses val="autoZero"/>
        <c:crossBetween val="midCat"/>
        <c:majorUnit val="0.1"/>
      </c:valAx>
    </c:plotArea>
    <c:plotVisOnly val="1"/>
    <c:dispBlanksAs val="gap"/>
  </c:chart>
  <c:spPr>
    <a:ln>
      <a:solidFill>
        <a:schemeClr val="bg1"/>
      </a:solidFill>
    </a:ln>
  </c:spPr>
  <c:txPr>
    <a:bodyPr/>
    <a:lstStyle/>
    <a:p>
      <a:pPr>
        <a:defRPr>
          <a:latin typeface="Times New Roman" pitchFamily="18" charset="0"/>
          <a:cs typeface="Times New Roman" pitchFamily="18" charset="0"/>
        </a:defRPr>
      </a:pPr>
      <a:endParaRPr lang="fr-FR"/>
    </a:p>
  </c:txPr>
  <c:externalData r:id="rId1"/>
  <c:userShapes r:id="rId2"/>
</c:chartSpace>
</file>

<file path=word/charts/chart69.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a:pPr>
            <a:r>
              <a:rPr lang="fr-FR" b="0">
                <a:latin typeface="Times New Roman" pitchFamily="18" charset="0"/>
                <a:cs typeface="Times New Roman" pitchFamily="18" charset="0"/>
              </a:rPr>
              <a:t>B</a:t>
            </a:r>
          </a:p>
        </c:rich>
      </c:tx>
      <c:layout>
        <c:manualLayout>
          <c:xMode val="edge"/>
          <c:yMode val="edge"/>
          <c:x val="3.2613554310078389E-3"/>
          <c:y val="5.8997050147492815E-3"/>
        </c:manualLayout>
      </c:layout>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21590405047622421"/>
          <c:y val="0.11982487483182259"/>
          <c:w val="0.70990872409605521"/>
          <c:h val="0.65475947859459238"/>
        </c:manualLayout>
      </c:layout>
      <c:lineChart>
        <c:grouping val="standard"/>
        <c:ser>
          <c:idx val="0"/>
          <c:order val="0"/>
          <c:tx>
            <c:strRef>
              <c:f>Sheet2!$B$92</c:f>
              <c:strCache>
                <c:ptCount val="1"/>
                <c:pt idx="0">
                  <c:v>1 (Temoin)</c:v>
                </c:pt>
              </c:strCache>
            </c:strRef>
          </c:tx>
          <c:spPr>
            <a:ln w="12700"/>
          </c:spPr>
          <c:errBars>
            <c:errDir val="y"/>
            <c:errBarType val="both"/>
            <c:errValType val="cust"/>
            <c:plus>
              <c:numRef>
                <c:f>Sheet1!$I$37:$M$37</c:f>
                <c:numCache>
                  <c:formatCode>General</c:formatCode>
                  <c:ptCount val="5"/>
                  <c:pt idx="0">
                    <c:v>1.2999999999999998E-2</c:v>
                  </c:pt>
                  <c:pt idx="1">
                    <c:v>2.5999999999999999E-2</c:v>
                  </c:pt>
                  <c:pt idx="2">
                    <c:v>1.9000000000000097E-2</c:v>
                  </c:pt>
                  <c:pt idx="3">
                    <c:v>1.4999999999999998E-2</c:v>
                  </c:pt>
                  <c:pt idx="4">
                    <c:v>2.3E-2</c:v>
                  </c:pt>
                </c:numCache>
              </c:numRef>
            </c:plus>
            <c:minus>
              <c:numRef>
                <c:f>Sheet1!$I$37:$M$37</c:f>
                <c:numCache>
                  <c:formatCode>General</c:formatCode>
                  <c:ptCount val="5"/>
                  <c:pt idx="0">
                    <c:v>1.2999999999999998E-2</c:v>
                  </c:pt>
                  <c:pt idx="1">
                    <c:v>2.5999999999999999E-2</c:v>
                  </c:pt>
                  <c:pt idx="2">
                    <c:v>1.9000000000000097E-2</c:v>
                  </c:pt>
                  <c:pt idx="3">
                    <c:v>1.4999999999999998E-2</c:v>
                  </c:pt>
                  <c:pt idx="4">
                    <c:v>2.3E-2</c:v>
                  </c:pt>
                </c:numCache>
              </c:numRef>
            </c:minus>
          </c:errBars>
          <c:cat>
            <c:strRef>
              <c:f>Sheet2!$A$93:$A$96</c:f>
              <c:strCache>
                <c:ptCount val="4"/>
                <c:pt idx="0">
                  <c:v>7 j</c:v>
                </c:pt>
                <c:pt idx="1">
                  <c:v>14 j</c:v>
                </c:pt>
                <c:pt idx="2">
                  <c:v>21 j</c:v>
                </c:pt>
                <c:pt idx="3">
                  <c:v>28 j</c:v>
                </c:pt>
              </c:strCache>
            </c:strRef>
          </c:cat>
          <c:val>
            <c:numRef>
              <c:f>Sheet2!$B$93:$B$96</c:f>
              <c:numCache>
                <c:formatCode>General</c:formatCode>
                <c:ptCount val="4"/>
                <c:pt idx="0">
                  <c:v>4.91</c:v>
                </c:pt>
                <c:pt idx="1">
                  <c:v>4.84</c:v>
                </c:pt>
                <c:pt idx="2">
                  <c:v>4.79</c:v>
                </c:pt>
                <c:pt idx="3">
                  <c:v>4.72</c:v>
                </c:pt>
              </c:numCache>
            </c:numRef>
          </c:val>
        </c:ser>
        <c:ser>
          <c:idx val="1"/>
          <c:order val="1"/>
          <c:tx>
            <c:strRef>
              <c:f>Sheet2!$C$92</c:f>
              <c:strCache>
                <c:ptCount val="1"/>
                <c:pt idx="0">
                  <c:v>2 (Lactoserum)</c:v>
                </c:pt>
              </c:strCache>
            </c:strRef>
          </c:tx>
          <c:spPr>
            <a:ln w="12700">
              <a:solidFill>
                <a:srgbClr val="FF9900"/>
              </a:solidFill>
            </a:ln>
          </c:spPr>
          <c:marker>
            <c:spPr>
              <a:solidFill>
                <a:srgbClr val="FF9900"/>
              </a:solidFill>
              <a:ln>
                <a:solidFill>
                  <a:srgbClr val="FF9900"/>
                </a:solidFill>
              </a:ln>
            </c:spPr>
          </c:marker>
          <c:errBars>
            <c:errDir val="y"/>
            <c:errBarType val="both"/>
            <c:errValType val="cust"/>
            <c:plus>
              <c:numRef>
                <c:f>Sheet1!$I$38:$M$38</c:f>
                <c:numCache>
                  <c:formatCode>General</c:formatCode>
                  <c:ptCount val="5"/>
                  <c:pt idx="0">
                    <c:v>8.0000000000000227E-3</c:v>
                  </c:pt>
                  <c:pt idx="1">
                    <c:v>2.8000000000000001E-2</c:v>
                  </c:pt>
                  <c:pt idx="2">
                    <c:v>3.1000000000000052E-2</c:v>
                  </c:pt>
                  <c:pt idx="3">
                    <c:v>1.4E-2</c:v>
                  </c:pt>
                  <c:pt idx="4">
                    <c:v>1.4999999999999998E-2</c:v>
                  </c:pt>
                </c:numCache>
              </c:numRef>
            </c:plus>
            <c:minus>
              <c:numRef>
                <c:f>Sheet1!$I$38:$M$38</c:f>
                <c:numCache>
                  <c:formatCode>General</c:formatCode>
                  <c:ptCount val="5"/>
                  <c:pt idx="0">
                    <c:v>8.0000000000000227E-3</c:v>
                  </c:pt>
                  <c:pt idx="1">
                    <c:v>2.8000000000000001E-2</c:v>
                  </c:pt>
                  <c:pt idx="2">
                    <c:v>3.1000000000000052E-2</c:v>
                  </c:pt>
                  <c:pt idx="3">
                    <c:v>1.4E-2</c:v>
                  </c:pt>
                  <c:pt idx="4">
                    <c:v>1.4999999999999998E-2</c:v>
                  </c:pt>
                </c:numCache>
              </c:numRef>
            </c:minus>
          </c:errBars>
          <c:cat>
            <c:strRef>
              <c:f>Sheet2!$A$93:$A$96</c:f>
              <c:strCache>
                <c:ptCount val="4"/>
                <c:pt idx="0">
                  <c:v>7 j</c:v>
                </c:pt>
                <c:pt idx="1">
                  <c:v>14 j</c:v>
                </c:pt>
                <c:pt idx="2">
                  <c:v>21 j</c:v>
                </c:pt>
                <c:pt idx="3">
                  <c:v>28 j</c:v>
                </c:pt>
              </c:strCache>
            </c:strRef>
          </c:cat>
          <c:val>
            <c:numRef>
              <c:f>Sheet2!$C$93:$C$96</c:f>
              <c:numCache>
                <c:formatCode>General</c:formatCode>
                <c:ptCount val="4"/>
                <c:pt idx="0">
                  <c:v>4.72</c:v>
                </c:pt>
                <c:pt idx="1">
                  <c:v>4.6099999999999985</c:v>
                </c:pt>
                <c:pt idx="2">
                  <c:v>4.53</c:v>
                </c:pt>
                <c:pt idx="3">
                  <c:v>4.4700000000000024</c:v>
                </c:pt>
              </c:numCache>
            </c:numRef>
          </c:val>
        </c:ser>
        <c:ser>
          <c:idx val="2"/>
          <c:order val="2"/>
          <c:tx>
            <c:strRef>
              <c:f>Sheet2!$D$92</c:f>
              <c:strCache>
                <c:ptCount val="1"/>
                <c:pt idx="0">
                  <c:v>3 (Promilk)</c:v>
                </c:pt>
              </c:strCache>
            </c:strRef>
          </c:tx>
          <c:spPr>
            <a:ln w="12700">
              <a:solidFill>
                <a:srgbClr val="92D050"/>
              </a:solidFill>
            </a:ln>
          </c:spPr>
          <c:marker>
            <c:spPr>
              <a:solidFill>
                <a:srgbClr val="92D050"/>
              </a:solidFill>
              <a:ln>
                <a:solidFill>
                  <a:srgbClr val="92D050"/>
                </a:solidFill>
              </a:ln>
            </c:spPr>
          </c:marker>
          <c:errBars>
            <c:errDir val="y"/>
            <c:errBarType val="both"/>
            <c:errValType val="cust"/>
            <c:plus>
              <c:numRef>
                <c:f>Sheet1!$I$39:$M$39</c:f>
                <c:numCache>
                  <c:formatCode>General</c:formatCode>
                  <c:ptCount val="5"/>
                  <c:pt idx="0">
                    <c:v>4.0000000000000114E-3</c:v>
                  </c:pt>
                  <c:pt idx="1">
                    <c:v>1.9000000000000097E-2</c:v>
                  </c:pt>
                  <c:pt idx="2">
                    <c:v>1.7000000000000001E-2</c:v>
                  </c:pt>
                  <c:pt idx="3">
                    <c:v>1.0000000000000005E-2</c:v>
                  </c:pt>
                  <c:pt idx="4">
                    <c:v>1.4E-2</c:v>
                  </c:pt>
                </c:numCache>
              </c:numRef>
            </c:plus>
            <c:minus>
              <c:numRef>
                <c:f>Sheet1!$I$39:$M$39</c:f>
                <c:numCache>
                  <c:formatCode>General</c:formatCode>
                  <c:ptCount val="5"/>
                  <c:pt idx="0">
                    <c:v>4.0000000000000114E-3</c:v>
                  </c:pt>
                  <c:pt idx="1">
                    <c:v>1.9000000000000097E-2</c:v>
                  </c:pt>
                  <c:pt idx="2">
                    <c:v>1.7000000000000001E-2</c:v>
                  </c:pt>
                  <c:pt idx="3">
                    <c:v>1.0000000000000005E-2</c:v>
                  </c:pt>
                  <c:pt idx="4">
                    <c:v>1.4E-2</c:v>
                  </c:pt>
                </c:numCache>
              </c:numRef>
            </c:minus>
          </c:errBars>
          <c:cat>
            <c:strRef>
              <c:f>Sheet2!$A$93:$A$96</c:f>
              <c:strCache>
                <c:ptCount val="4"/>
                <c:pt idx="0">
                  <c:v>7 j</c:v>
                </c:pt>
                <c:pt idx="1">
                  <c:v>14 j</c:v>
                </c:pt>
                <c:pt idx="2">
                  <c:v>21 j</c:v>
                </c:pt>
                <c:pt idx="3">
                  <c:v>28 j</c:v>
                </c:pt>
              </c:strCache>
            </c:strRef>
          </c:cat>
          <c:val>
            <c:numRef>
              <c:f>Sheet2!$D$93:$D$96</c:f>
              <c:numCache>
                <c:formatCode>General</c:formatCode>
                <c:ptCount val="4"/>
                <c:pt idx="0">
                  <c:v>4.88</c:v>
                </c:pt>
                <c:pt idx="1">
                  <c:v>4.7300000000000004</c:v>
                </c:pt>
                <c:pt idx="2">
                  <c:v>4.6199999999999966</c:v>
                </c:pt>
                <c:pt idx="3">
                  <c:v>4.5199999999999996</c:v>
                </c:pt>
              </c:numCache>
            </c:numRef>
          </c:val>
        </c:ser>
        <c:ser>
          <c:idx val="3"/>
          <c:order val="3"/>
          <c:tx>
            <c:strRef>
              <c:f>Sheet2!$E$92</c:f>
              <c:strCache>
                <c:ptCount val="1"/>
                <c:pt idx="0">
                  <c:v>4 (H. Caseine)</c:v>
                </c:pt>
              </c:strCache>
            </c:strRef>
          </c:tx>
          <c:spPr>
            <a:ln w="12700">
              <a:solidFill>
                <a:srgbClr val="990099"/>
              </a:solidFill>
            </a:ln>
          </c:spPr>
          <c:marker>
            <c:spPr>
              <a:solidFill>
                <a:srgbClr val="990099"/>
              </a:solidFill>
              <a:ln>
                <a:solidFill>
                  <a:srgbClr val="990099"/>
                </a:solidFill>
              </a:ln>
            </c:spPr>
          </c:marker>
          <c:errBars>
            <c:errDir val="y"/>
            <c:errBarType val="both"/>
            <c:errValType val="cust"/>
            <c:plus>
              <c:numRef>
                <c:f>Sheet1!$I$40:$M$40</c:f>
                <c:numCache>
                  <c:formatCode>General</c:formatCode>
                  <c:ptCount val="5"/>
                  <c:pt idx="0">
                    <c:v>2.1000000000000012E-2</c:v>
                  </c:pt>
                  <c:pt idx="1">
                    <c:v>1.6000000000000021E-2</c:v>
                  </c:pt>
                  <c:pt idx="2">
                    <c:v>1.4E-2</c:v>
                  </c:pt>
                  <c:pt idx="3">
                    <c:v>1.4E-2</c:v>
                  </c:pt>
                  <c:pt idx="4">
                    <c:v>1.4999999999999998E-2</c:v>
                  </c:pt>
                </c:numCache>
              </c:numRef>
            </c:plus>
            <c:minus>
              <c:numRef>
                <c:f>Sheet1!$I$40:$M$40</c:f>
                <c:numCache>
                  <c:formatCode>General</c:formatCode>
                  <c:ptCount val="5"/>
                  <c:pt idx="0">
                    <c:v>2.1000000000000012E-2</c:v>
                  </c:pt>
                  <c:pt idx="1">
                    <c:v>1.6000000000000021E-2</c:v>
                  </c:pt>
                  <c:pt idx="2">
                    <c:v>1.4E-2</c:v>
                  </c:pt>
                  <c:pt idx="3">
                    <c:v>1.4E-2</c:v>
                  </c:pt>
                  <c:pt idx="4">
                    <c:v>1.4999999999999998E-2</c:v>
                  </c:pt>
                </c:numCache>
              </c:numRef>
            </c:minus>
          </c:errBars>
          <c:cat>
            <c:strRef>
              <c:f>Sheet2!$A$93:$A$96</c:f>
              <c:strCache>
                <c:ptCount val="4"/>
                <c:pt idx="0">
                  <c:v>7 j</c:v>
                </c:pt>
                <c:pt idx="1">
                  <c:v>14 j</c:v>
                </c:pt>
                <c:pt idx="2">
                  <c:v>21 j</c:v>
                </c:pt>
                <c:pt idx="3">
                  <c:v>28 j</c:v>
                </c:pt>
              </c:strCache>
            </c:strRef>
          </c:cat>
          <c:val>
            <c:numRef>
              <c:f>Sheet2!$E$93:$E$96</c:f>
              <c:numCache>
                <c:formatCode>General</c:formatCode>
                <c:ptCount val="4"/>
                <c:pt idx="0">
                  <c:v>4.8</c:v>
                </c:pt>
                <c:pt idx="1">
                  <c:v>4.6099999999999985</c:v>
                </c:pt>
                <c:pt idx="2">
                  <c:v>4.54</c:v>
                </c:pt>
                <c:pt idx="3">
                  <c:v>4.49</c:v>
                </c:pt>
              </c:numCache>
            </c:numRef>
          </c:val>
        </c:ser>
        <c:ser>
          <c:idx val="4"/>
          <c:order val="4"/>
          <c:tx>
            <c:strRef>
              <c:f>Sheet2!$F$92</c:f>
              <c:strCache>
                <c:ptCount val="1"/>
                <c:pt idx="0">
                  <c:v>5 (H. Proteine)</c:v>
                </c:pt>
              </c:strCache>
            </c:strRef>
          </c:tx>
          <c:spPr>
            <a:ln w="12700">
              <a:solidFill>
                <a:srgbClr val="FF33CC"/>
              </a:solidFill>
            </a:ln>
          </c:spPr>
          <c:marker>
            <c:symbol val="circle"/>
            <c:size val="4"/>
            <c:spPr>
              <a:solidFill>
                <a:srgbClr val="FF33CC"/>
              </a:solidFill>
              <a:ln>
                <a:solidFill>
                  <a:srgbClr val="FF33CC"/>
                </a:solidFill>
              </a:ln>
            </c:spPr>
          </c:marker>
          <c:errBars>
            <c:errDir val="y"/>
            <c:errBarType val="both"/>
            <c:errValType val="cust"/>
            <c:plus>
              <c:numRef>
                <c:f>Sheet2!$M$93:$M$96</c:f>
                <c:numCache>
                  <c:formatCode>General</c:formatCode>
                  <c:ptCount val="4"/>
                  <c:pt idx="0">
                    <c:v>2.3E-2</c:v>
                  </c:pt>
                  <c:pt idx="1">
                    <c:v>1.4999999999999998E-2</c:v>
                  </c:pt>
                  <c:pt idx="2">
                    <c:v>1.4E-2</c:v>
                  </c:pt>
                  <c:pt idx="3">
                    <c:v>1.4999999999999998E-2</c:v>
                  </c:pt>
                </c:numCache>
              </c:numRef>
            </c:plus>
            <c:minus>
              <c:numRef>
                <c:f>Sheet2!$M$93:$M$96</c:f>
                <c:numCache>
                  <c:formatCode>General</c:formatCode>
                  <c:ptCount val="4"/>
                  <c:pt idx="0">
                    <c:v>2.3E-2</c:v>
                  </c:pt>
                  <c:pt idx="1">
                    <c:v>1.4999999999999998E-2</c:v>
                  </c:pt>
                  <c:pt idx="2">
                    <c:v>1.4E-2</c:v>
                  </c:pt>
                  <c:pt idx="3">
                    <c:v>1.4999999999999998E-2</c:v>
                  </c:pt>
                </c:numCache>
              </c:numRef>
            </c:minus>
            <c:spPr>
              <a:ln w="3175">
                <a:solidFill>
                  <a:srgbClr val="000000"/>
                </a:solidFill>
                <a:prstDash val="solid"/>
              </a:ln>
            </c:spPr>
          </c:errBars>
          <c:cat>
            <c:strRef>
              <c:f>Sheet2!$A$93:$A$96</c:f>
              <c:strCache>
                <c:ptCount val="4"/>
                <c:pt idx="0">
                  <c:v>7 j</c:v>
                </c:pt>
                <c:pt idx="1">
                  <c:v>14 j</c:v>
                </c:pt>
                <c:pt idx="2">
                  <c:v>21 j</c:v>
                </c:pt>
                <c:pt idx="3">
                  <c:v>28 j</c:v>
                </c:pt>
              </c:strCache>
            </c:strRef>
          </c:cat>
          <c:val>
            <c:numRef>
              <c:f>Sheet2!$F$93:$F$96</c:f>
              <c:numCache>
                <c:formatCode>General</c:formatCode>
                <c:ptCount val="4"/>
                <c:pt idx="0">
                  <c:v>4.83</c:v>
                </c:pt>
                <c:pt idx="1">
                  <c:v>4.68</c:v>
                </c:pt>
                <c:pt idx="2">
                  <c:v>4.5999999999999996</c:v>
                </c:pt>
                <c:pt idx="3">
                  <c:v>4.5199999999999996</c:v>
                </c:pt>
              </c:numCache>
            </c:numRef>
          </c:val>
        </c:ser>
        <c:marker val="1"/>
        <c:axId val="63878656"/>
        <c:axId val="63880576"/>
      </c:lineChart>
      <c:catAx>
        <c:axId val="63878656"/>
        <c:scaling>
          <c:orientation val="minMax"/>
        </c:scaling>
        <c:axPos val="b"/>
        <c:title>
          <c:tx>
            <c:rich>
              <a:bodyPr/>
              <a:lstStyle/>
              <a:p>
                <a:pPr>
                  <a:defRPr>
                    <a:latin typeface="Times New Roman" pitchFamily="18" charset="0"/>
                    <a:cs typeface="Times New Roman" pitchFamily="18" charset="0"/>
                  </a:defRPr>
                </a:pPr>
                <a:r>
                  <a:rPr lang="en-US">
                    <a:latin typeface="Times New Roman" pitchFamily="18" charset="0"/>
                    <a:cs typeface="Times New Roman" pitchFamily="18" charset="0"/>
                  </a:rPr>
                  <a:t>Entreposage à +4°C</a:t>
                </a:r>
                <a:r>
                  <a:rPr lang="en-US" baseline="0">
                    <a:latin typeface="Times New Roman" pitchFamily="18" charset="0"/>
                    <a:cs typeface="Times New Roman" pitchFamily="18" charset="0"/>
                  </a:rPr>
                  <a:t> en </a:t>
                </a:r>
                <a:r>
                  <a:rPr lang="en-US">
                    <a:latin typeface="Times New Roman" pitchFamily="18" charset="0"/>
                    <a:cs typeface="Times New Roman" pitchFamily="18" charset="0"/>
                  </a:rPr>
                  <a:t>jours</a:t>
                </a:r>
              </a:p>
            </c:rich>
          </c:tx>
          <c:layout>
            <c:manualLayout>
              <c:xMode val="edge"/>
              <c:yMode val="edge"/>
              <c:x val="0.22582568931460867"/>
              <c:y val="0.91487439070116228"/>
            </c:manualLayout>
          </c:layout>
        </c:title>
        <c:numFmt formatCode="General" sourceLinked="1"/>
        <c:tickLblPos val="nextTo"/>
        <c:spPr>
          <a:ln w="9525">
            <a:solidFill>
              <a:sysClr val="windowText" lastClr="000000"/>
            </a:solidFill>
          </a:ln>
        </c:spPr>
        <c:txPr>
          <a:bodyPr/>
          <a:lstStyle/>
          <a:p>
            <a:pPr>
              <a:defRPr b="1" i="0" baseline="0"/>
            </a:pPr>
            <a:endParaRPr lang="fr-FR"/>
          </a:p>
        </c:txPr>
        <c:crossAx val="63880576"/>
        <c:crosses val="autoZero"/>
        <c:auto val="1"/>
        <c:lblAlgn val="ctr"/>
        <c:lblOffset val="100"/>
      </c:catAx>
      <c:valAx>
        <c:axId val="63880576"/>
        <c:scaling>
          <c:orientation val="minMax"/>
          <c:max val="5"/>
          <c:min val="4.4000000000000004"/>
        </c:scaling>
        <c:axPos val="l"/>
        <c:title>
          <c:tx>
            <c:rich>
              <a:bodyPr rot="-5400000" vert="horz"/>
              <a:lstStyle/>
              <a:p>
                <a:pPr>
                  <a:defRPr>
                    <a:latin typeface="Times New Roman" pitchFamily="18" charset="0"/>
                    <a:cs typeface="Times New Roman" pitchFamily="18" charset="0"/>
                  </a:defRPr>
                </a:pPr>
                <a:r>
                  <a:rPr lang="en-US">
                    <a:latin typeface="Times New Roman" pitchFamily="18" charset="0"/>
                    <a:cs typeface="Times New Roman" pitchFamily="18" charset="0"/>
                  </a:rPr>
                  <a:t>pH</a:t>
                </a:r>
              </a:p>
            </c:rich>
          </c:tx>
          <c:layout/>
        </c:title>
        <c:numFmt formatCode="General" sourceLinked="1"/>
        <c:tickLblPos val="nextTo"/>
        <c:spPr>
          <a:ln w="9525">
            <a:solidFill>
              <a:schemeClr val="tx1"/>
            </a:solidFill>
          </a:ln>
        </c:spPr>
        <c:txPr>
          <a:bodyPr/>
          <a:lstStyle/>
          <a:p>
            <a:pPr>
              <a:defRPr b="1" i="0" baseline="0"/>
            </a:pPr>
            <a:endParaRPr lang="fr-FR"/>
          </a:p>
        </c:txPr>
        <c:crossAx val="63878656"/>
        <c:crosses val="autoZero"/>
        <c:crossBetween val="midCat"/>
      </c:valAx>
    </c:plotArea>
    <c:plotVisOnly val="1"/>
    <c:dispBlanksAs val="gap"/>
  </c:chart>
  <c:spPr>
    <a:ln>
      <a:solidFill>
        <a:schemeClr val="bg1"/>
      </a:solidFill>
    </a:ln>
  </c:spPr>
  <c:externalData r:id="rId1"/>
  <c:userShapes r:id="rId2"/>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sz="1000"/>
            </a:pPr>
            <a:r>
              <a:rPr lang="en-US" sz="1800" b="0"/>
              <a:t>D</a:t>
            </a:r>
          </a:p>
        </c:rich>
      </c:tx>
      <c:layout>
        <c:manualLayout>
          <c:xMode val="edge"/>
          <c:yMode val="edge"/>
          <c:x val="4.1355562927053273E-2"/>
          <c:y val="4.8663191193716827E-3"/>
        </c:manualLayout>
      </c:layout>
      <c:overlay val="1"/>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25048213059389085"/>
          <c:y val="0.16691525129606793"/>
          <c:w val="0.69066425836555556"/>
          <c:h val="0.62856597470770659"/>
        </c:manualLayout>
      </c:layout>
      <c:lineChart>
        <c:grouping val="standard"/>
        <c:ser>
          <c:idx val="0"/>
          <c:order val="0"/>
          <c:tx>
            <c:strRef>
              <c:f>Sheet2!$B$21</c:f>
              <c:strCache>
                <c:ptCount val="1"/>
                <c:pt idx="0">
                  <c:v>1 (Temoin)</c:v>
                </c:pt>
              </c:strCache>
            </c:strRef>
          </c:tx>
          <c:spPr>
            <a:ln w="12700"/>
          </c:spPr>
          <c:errBars>
            <c:errDir val="y"/>
            <c:errBarType val="both"/>
            <c:errValType val="cust"/>
            <c:plus>
              <c:numRef>
                <c:f>Sheet2!$I$22:$I$25</c:f>
                <c:numCache>
                  <c:formatCode>General</c:formatCode>
                  <c:ptCount val="4"/>
                  <c:pt idx="0">
                    <c:v>2.5000000000000001E-2</c:v>
                  </c:pt>
                  <c:pt idx="1">
                    <c:v>2.8000000000000001E-2</c:v>
                  </c:pt>
                  <c:pt idx="2">
                    <c:v>2.9000000000000001E-2</c:v>
                  </c:pt>
                  <c:pt idx="3">
                    <c:v>3.2000000000000042E-2</c:v>
                  </c:pt>
                </c:numCache>
              </c:numRef>
            </c:plus>
            <c:minus>
              <c:numRef>
                <c:f>Sheet2!$I$22:$I$25</c:f>
                <c:numCache>
                  <c:formatCode>General</c:formatCode>
                  <c:ptCount val="4"/>
                  <c:pt idx="0">
                    <c:v>2.5000000000000001E-2</c:v>
                  </c:pt>
                  <c:pt idx="1">
                    <c:v>2.8000000000000001E-2</c:v>
                  </c:pt>
                  <c:pt idx="2">
                    <c:v>2.9000000000000001E-2</c:v>
                  </c:pt>
                  <c:pt idx="3">
                    <c:v>3.2000000000000042E-2</c:v>
                  </c:pt>
                </c:numCache>
              </c:numRef>
            </c:minus>
          </c:errBars>
          <c:cat>
            <c:strRef>
              <c:f>Sheet2!$A$22:$A$25</c:f>
              <c:strCache>
                <c:ptCount val="4"/>
                <c:pt idx="0">
                  <c:v>T0</c:v>
                </c:pt>
                <c:pt idx="1">
                  <c:v>T1</c:v>
                </c:pt>
                <c:pt idx="2">
                  <c:v>T2</c:v>
                </c:pt>
                <c:pt idx="3">
                  <c:v>T3</c:v>
                </c:pt>
              </c:strCache>
            </c:strRef>
          </c:cat>
          <c:val>
            <c:numRef>
              <c:f>Sheet2!$B$22:$B$25</c:f>
              <c:numCache>
                <c:formatCode>General</c:formatCode>
                <c:ptCount val="4"/>
                <c:pt idx="0">
                  <c:v>5.9700000000000024</c:v>
                </c:pt>
                <c:pt idx="1">
                  <c:v>7.03</c:v>
                </c:pt>
                <c:pt idx="2">
                  <c:v>7.83</c:v>
                </c:pt>
                <c:pt idx="3">
                  <c:v>8.82</c:v>
                </c:pt>
              </c:numCache>
            </c:numRef>
          </c:val>
        </c:ser>
        <c:ser>
          <c:idx val="1"/>
          <c:order val="1"/>
          <c:tx>
            <c:strRef>
              <c:f>Sheet2!$C$21</c:f>
              <c:strCache>
                <c:ptCount val="1"/>
                <c:pt idx="0">
                  <c:v>2 (Lactoserum)</c:v>
                </c:pt>
              </c:strCache>
            </c:strRef>
          </c:tx>
          <c:spPr>
            <a:ln w="12700">
              <a:solidFill>
                <a:srgbClr val="FF9900"/>
              </a:solidFill>
            </a:ln>
          </c:spPr>
          <c:marker>
            <c:spPr>
              <a:solidFill>
                <a:srgbClr val="FF9900"/>
              </a:solidFill>
              <a:ln>
                <a:solidFill>
                  <a:srgbClr val="FF9900"/>
                </a:solidFill>
              </a:ln>
            </c:spPr>
          </c:marker>
          <c:errBars>
            <c:errDir val="y"/>
            <c:errBarType val="both"/>
            <c:errValType val="cust"/>
            <c:plus>
              <c:numRef>
                <c:f>Sheet1!$I$14:$M$14</c:f>
                <c:numCache>
                  <c:formatCode>General</c:formatCode>
                  <c:ptCount val="5"/>
                  <c:pt idx="0">
                    <c:v>2.8000000000000001E-2</c:v>
                  </c:pt>
                  <c:pt idx="1">
                    <c:v>2.1000000000000012E-2</c:v>
                  </c:pt>
                  <c:pt idx="2">
                    <c:v>3.6999999999999998E-2</c:v>
                  </c:pt>
                  <c:pt idx="3">
                    <c:v>3.5999999999999997E-2</c:v>
                  </c:pt>
                  <c:pt idx="4">
                    <c:v>3.2000000000000042E-2</c:v>
                  </c:pt>
                </c:numCache>
              </c:numRef>
            </c:plus>
            <c:minus>
              <c:numRef>
                <c:f>Sheet1!$I$14:$M$14</c:f>
                <c:numCache>
                  <c:formatCode>General</c:formatCode>
                  <c:ptCount val="5"/>
                  <c:pt idx="0">
                    <c:v>2.8000000000000001E-2</c:v>
                  </c:pt>
                  <c:pt idx="1">
                    <c:v>2.1000000000000012E-2</c:v>
                  </c:pt>
                  <c:pt idx="2">
                    <c:v>3.6999999999999998E-2</c:v>
                  </c:pt>
                  <c:pt idx="3">
                    <c:v>3.5999999999999997E-2</c:v>
                  </c:pt>
                  <c:pt idx="4">
                    <c:v>3.2000000000000042E-2</c:v>
                  </c:pt>
                </c:numCache>
              </c:numRef>
            </c:minus>
          </c:errBars>
          <c:cat>
            <c:strRef>
              <c:f>Sheet2!$A$22:$A$25</c:f>
              <c:strCache>
                <c:ptCount val="4"/>
                <c:pt idx="0">
                  <c:v>T0</c:v>
                </c:pt>
                <c:pt idx="1">
                  <c:v>T1</c:v>
                </c:pt>
                <c:pt idx="2">
                  <c:v>T2</c:v>
                </c:pt>
                <c:pt idx="3">
                  <c:v>T3</c:v>
                </c:pt>
              </c:strCache>
            </c:strRef>
          </c:cat>
          <c:val>
            <c:numRef>
              <c:f>Sheet2!$C$22:$C$25</c:f>
              <c:numCache>
                <c:formatCode>General</c:formatCode>
                <c:ptCount val="4"/>
                <c:pt idx="0">
                  <c:v>5.96</c:v>
                </c:pt>
                <c:pt idx="1">
                  <c:v>7.45</c:v>
                </c:pt>
                <c:pt idx="2">
                  <c:v>8.34</c:v>
                </c:pt>
                <c:pt idx="3">
                  <c:v>9.56</c:v>
                </c:pt>
              </c:numCache>
            </c:numRef>
          </c:val>
        </c:ser>
        <c:ser>
          <c:idx val="2"/>
          <c:order val="2"/>
          <c:tx>
            <c:strRef>
              <c:f>Sheet2!$D$21</c:f>
              <c:strCache>
                <c:ptCount val="1"/>
                <c:pt idx="0">
                  <c:v>3 (Promilk)</c:v>
                </c:pt>
              </c:strCache>
            </c:strRef>
          </c:tx>
          <c:spPr>
            <a:ln w="12700">
              <a:solidFill>
                <a:srgbClr val="92D050"/>
              </a:solidFill>
            </a:ln>
          </c:spPr>
          <c:marker>
            <c:spPr>
              <a:solidFill>
                <a:srgbClr val="92D050"/>
              </a:solidFill>
              <a:ln>
                <a:solidFill>
                  <a:srgbClr val="92D050"/>
                </a:solidFill>
              </a:ln>
            </c:spPr>
          </c:marker>
          <c:errBars>
            <c:errDir val="y"/>
            <c:errBarType val="both"/>
            <c:errValType val="cust"/>
            <c:plus>
              <c:numRef>
                <c:f>Sheet1!$I$15:$M$15</c:f>
                <c:numCache>
                  <c:formatCode>General</c:formatCode>
                  <c:ptCount val="5"/>
                  <c:pt idx="0">
                    <c:v>2.9000000000000001E-2</c:v>
                  </c:pt>
                  <c:pt idx="1">
                    <c:v>2.5999999999999999E-2</c:v>
                  </c:pt>
                  <c:pt idx="2">
                    <c:v>4.5999999999999999E-2</c:v>
                  </c:pt>
                  <c:pt idx="3">
                    <c:v>4.0000000000000022E-2</c:v>
                  </c:pt>
                  <c:pt idx="4">
                    <c:v>2.3E-2</c:v>
                  </c:pt>
                </c:numCache>
              </c:numRef>
            </c:plus>
            <c:minus>
              <c:numRef>
                <c:f>Sheet1!$I$15:$M$15</c:f>
                <c:numCache>
                  <c:formatCode>General</c:formatCode>
                  <c:ptCount val="5"/>
                  <c:pt idx="0">
                    <c:v>2.9000000000000001E-2</c:v>
                  </c:pt>
                  <c:pt idx="1">
                    <c:v>2.5999999999999999E-2</c:v>
                  </c:pt>
                  <c:pt idx="2">
                    <c:v>4.5999999999999999E-2</c:v>
                  </c:pt>
                  <c:pt idx="3">
                    <c:v>4.0000000000000022E-2</c:v>
                  </c:pt>
                  <c:pt idx="4">
                    <c:v>2.3E-2</c:v>
                  </c:pt>
                </c:numCache>
              </c:numRef>
            </c:minus>
          </c:errBars>
          <c:cat>
            <c:strRef>
              <c:f>Sheet2!$A$22:$A$25</c:f>
              <c:strCache>
                <c:ptCount val="4"/>
                <c:pt idx="0">
                  <c:v>T0</c:v>
                </c:pt>
                <c:pt idx="1">
                  <c:v>T1</c:v>
                </c:pt>
                <c:pt idx="2">
                  <c:v>T2</c:v>
                </c:pt>
                <c:pt idx="3">
                  <c:v>T3</c:v>
                </c:pt>
              </c:strCache>
            </c:strRef>
          </c:cat>
          <c:val>
            <c:numRef>
              <c:f>Sheet2!$D$22:$D$25</c:f>
              <c:numCache>
                <c:formatCode>General</c:formatCode>
                <c:ptCount val="4"/>
                <c:pt idx="0">
                  <c:v>5.99</c:v>
                </c:pt>
                <c:pt idx="1">
                  <c:v>7.1899999999999995</c:v>
                </c:pt>
                <c:pt idx="2">
                  <c:v>8.08</c:v>
                </c:pt>
                <c:pt idx="3">
                  <c:v>8.81</c:v>
                </c:pt>
              </c:numCache>
            </c:numRef>
          </c:val>
        </c:ser>
        <c:ser>
          <c:idx val="3"/>
          <c:order val="3"/>
          <c:tx>
            <c:strRef>
              <c:f>Sheet2!$E$21</c:f>
              <c:strCache>
                <c:ptCount val="1"/>
                <c:pt idx="0">
                  <c:v>4 (H. Caseine)</c:v>
                </c:pt>
              </c:strCache>
            </c:strRef>
          </c:tx>
          <c:spPr>
            <a:ln w="12700">
              <a:solidFill>
                <a:srgbClr val="990099"/>
              </a:solidFill>
            </a:ln>
          </c:spPr>
          <c:marker>
            <c:spPr>
              <a:solidFill>
                <a:srgbClr val="990099"/>
              </a:solidFill>
              <a:ln>
                <a:solidFill>
                  <a:srgbClr val="990099"/>
                </a:solidFill>
              </a:ln>
            </c:spPr>
          </c:marker>
          <c:errBars>
            <c:errDir val="y"/>
            <c:errBarType val="both"/>
            <c:errValType val="cust"/>
            <c:plus>
              <c:numRef>
                <c:f>Sheet1!$I$16:$M$16</c:f>
                <c:numCache>
                  <c:formatCode>General</c:formatCode>
                  <c:ptCount val="5"/>
                  <c:pt idx="0">
                    <c:v>3.2000000000000042E-2</c:v>
                  </c:pt>
                  <c:pt idx="1">
                    <c:v>4.5000000000000012E-2</c:v>
                  </c:pt>
                  <c:pt idx="2">
                    <c:v>3.500000000000001E-2</c:v>
                  </c:pt>
                  <c:pt idx="3">
                    <c:v>3.3000000000000002E-2</c:v>
                  </c:pt>
                  <c:pt idx="4">
                    <c:v>3.5999999999999997E-2</c:v>
                  </c:pt>
                </c:numCache>
              </c:numRef>
            </c:plus>
            <c:minus>
              <c:numRef>
                <c:f>Sheet1!$I$16:$M$16</c:f>
                <c:numCache>
                  <c:formatCode>General</c:formatCode>
                  <c:ptCount val="5"/>
                  <c:pt idx="0">
                    <c:v>3.2000000000000042E-2</c:v>
                  </c:pt>
                  <c:pt idx="1">
                    <c:v>4.5000000000000012E-2</c:v>
                  </c:pt>
                  <c:pt idx="2">
                    <c:v>3.500000000000001E-2</c:v>
                  </c:pt>
                  <c:pt idx="3">
                    <c:v>3.3000000000000002E-2</c:v>
                  </c:pt>
                  <c:pt idx="4">
                    <c:v>3.5999999999999997E-2</c:v>
                  </c:pt>
                </c:numCache>
              </c:numRef>
            </c:minus>
          </c:errBars>
          <c:cat>
            <c:strRef>
              <c:f>Sheet2!$A$22:$A$25</c:f>
              <c:strCache>
                <c:ptCount val="4"/>
                <c:pt idx="0">
                  <c:v>T0</c:v>
                </c:pt>
                <c:pt idx="1">
                  <c:v>T1</c:v>
                </c:pt>
                <c:pt idx="2">
                  <c:v>T2</c:v>
                </c:pt>
                <c:pt idx="3">
                  <c:v>T3</c:v>
                </c:pt>
              </c:strCache>
            </c:strRef>
          </c:cat>
          <c:val>
            <c:numRef>
              <c:f>Sheet2!$E$22:$E$25</c:f>
              <c:numCache>
                <c:formatCode>General</c:formatCode>
                <c:ptCount val="4"/>
                <c:pt idx="0">
                  <c:v>5.98</c:v>
                </c:pt>
                <c:pt idx="1">
                  <c:v>7.26</c:v>
                </c:pt>
                <c:pt idx="2">
                  <c:v>8.15</c:v>
                </c:pt>
                <c:pt idx="3">
                  <c:v>9.07</c:v>
                </c:pt>
              </c:numCache>
            </c:numRef>
          </c:val>
        </c:ser>
        <c:ser>
          <c:idx val="4"/>
          <c:order val="4"/>
          <c:tx>
            <c:strRef>
              <c:f>Sheet2!$F$21</c:f>
              <c:strCache>
                <c:ptCount val="1"/>
                <c:pt idx="0">
                  <c:v>5 (H. Proteine)</c:v>
                </c:pt>
              </c:strCache>
            </c:strRef>
          </c:tx>
          <c:spPr>
            <a:ln w="12700">
              <a:solidFill>
                <a:srgbClr val="FF33CC"/>
              </a:solidFill>
            </a:ln>
          </c:spPr>
          <c:marker>
            <c:symbol val="circle"/>
            <c:size val="5"/>
            <c:spPr>
              <a:solidFill>
                <a:srgbClr val="FF33CC"/>
              </a:solidFill>
              <a:ln>
                <a:solidFill>
                  <a:srgbClr val="FF33CC"/>
                </a:solidFill>
              </a:ln>
            </c:spPr>
          </c:marker>
          <c:errBars>
            <c:errDir val="y"/>
            <c:errBarType val="both"/>
            <c:errValType val="cust"/>
            <c:plus>
              <c:numRef>
                <c:f>Sheet2!$M$22:$M$25</c:f>
                <c:numCache>
                  <c:formatCode>General</c:formatCode>
                  <c:ptCount val="4"/>
                  <c:pt idx="0">
                    <c:v>2.3E-2</c:v>
                  </c:pt>
                  <c:pt idx="1">
                    <c:v>3.2000000000000042E-2</c:v>
                  </c:pt>
                  <c:pt idx="2">
                    <c:v>2.3E-2</c:v>
                  </c:pt>
                  <c:pt idx="3">
                    <c:v>3.5999999999999997E-2</c:v>
                  </c:pt>
                </c:numCache>
              </c:numRef>
            </c:plus>
            <c:minus>
              <c:numRef>
                <c:f>Sheet2!$M$22:$M$25</c:f>
                <c:numCache>
                  <c:formatCode>General</c:formatCode>
                  <c:ptCount val="4"/>
                  <c:pt idx="0">
                    <c:v>2.3E-2</c:v>
                  </c:pt>
                  <c:pt idx="1">
                    <c:v>3.2000000000000042E-2</c:v>
                  </c:pt>
                  <c:pt idx="2">
                    <c:v>2.3E-2</c:v>
                  </c:pt>
                  <c:pt idx="3">
                    <c:v>3.5999999999999997E-2</c:v>
                  </c:pt>
                </c:numCache>
              </c:numRef>
            </c:minus>
            <c:spPr>
              <a:ln w="3175">
                <a:solidFill>
                  <a:srgbClr val="000000"/>
                </a:solidFill>
                <a:prstDash val="solid"/>
              </a:ln>
            </c:spPr>
          </c:errBars>
          <c:cat>
            <c:strRef>
              <c:f>Sheet2!$A$22:$A$25</c:f>
              <c:strCache>
                <c:ptCount val="4"/>
                <c:pt idx="0">
                  <c:v>T0</c:v>
                </c:pt>
                <c:pt idx="1">
                  <c:v>T1</c:v>
                </c:pt>
                <c:pt idx="2">
                  <c:v>T2</c:v>
                </c:pt>
                <c:pt idx="3">
                  <c:v>T3</c:v>
                </c:pt>
              </c:strCache>
            </c:strRef>
          </c:cat>
          <c:val>
            <c:numRef>
              <c:f>Sheet2!$F$22:$F$25</c:f>
              <c:numCache>
                <c:formatCode>General</c:formatCode>
                <c:ptCount val="4"/>
                <c:pt idx="0">
                  <c:v>5.98</c:v>
                </c:pt>
                <c:pt idx="1">
                  <c:v>7.44</c:v>
                </c:pt>
                <c:pt idx="2">
                  <c:v>8.4</c:v>
                </c:pt>
                <c:pt idx="3">
                  <c:v>9.7100000000000009</c:v>
                </c:pt>
              </c:numCache>
            </c:numRef>
          </c:val>
        </c:ser>
        <c:marker val="1"/>
        <c:axId val="58669696"/>
        <c:axId val="58684160"/>
      </c:lineChart>
      <c:catAx>
        <c:axId val="58669696"/>
        <c:scaling>
          <c:orientation val="minMax"/>
        </c:scaling>
        <c:axPos val="b"/>
        <c:title>
          <c:tx>
            <c:rich>
              <a:bodyPr/>
              <a:lstStyle/>
              <a:p>
                <a:pPr>
                  <a:defRPr b="1"/>
                </a:pPr>
                <a:r>
                  <a:rPr lang="en-US" b="1"/>
                  <a:t>Temps (h)</a:t>
                </a:r>
              </a:p>
            </c:rich>
          </c:tx>
          <c:layout>
            <c:manualLayout>
              <c:xMode val="edge"/>
              <c:yMode val="edge"/>
              <c:x val="0.46189220971034606"/>
              <c:y val="0.92011019283746398"/>
            </c:manualLayout>
          </c:layout>
        </c:title>
        <c:numFmt formatCode="General" sourceLinked="1"/>
        <c:tickLblPos val="nextTo"/>
        <c:spPr>
          <a:ln w="9525">
            <a:solidFill>
              <a:schemeClr val="tx1"/>
            </a:solidFill>
          </a:ln>
        </c:spPr>
        <c:txPr>
          <a:bodyPr rot="0" vert="horz"/>
          <a:lstStyle/>
          <a:p>
            <a:pPr>
              <a:defRPr b="1" i="0" baseline="0"/>
            </a:pPr>
            <a:endParaRPr lang="fr-FR"/>
          </a:p>
        </c:txPr>
        <c:crossAx val="58684160"/>
        <c:crosses val="autoZero"/>
        <c:auto val="1"/>
        <c:lblAlgn val="ctr"/>
        <c:lblOffset val="100"/>
      </c:catAx>
      <c:valAx>
        <c:axId val="58684160"/>
        <c:scaling>
          <c:orientation val="minMax"/>
          <c:max val="10"/>
          <c:min val="5.5"/>
        </c:scaling>
        <c:axPos val="l"/>
        <c:title>
          <c:tx>
            <c:rich>
              <a:bodyPr rot="-5400000" vert="horz"/>
              <a:lstStyle/>
              <a:p>
                <a:pPr>
                  <a:defRPr b="1"/>
                </a:pPr>
                <a:r>
                  <a:rPr lang="en-US" sz="1000" b="1"/>
                  <a:t>log UFC/ml</a:t>
                </a:r>
              </a:p>
            </c:rich>
          </c:tx>
          <c:layout/>
        </c:title>
        <c:numFmt formatCode="General" sourceLinked="1"/>
        <c:tickLblPos val="nextTo"/>
        <c:spPr>
          <a:ln w="9525">
            <a:solidFill>
              <a:schemeClr val="tx1"/>
            </a:solidFill>
          </a:ln>
        </c:spPr>
        <c:txPr>
          <a:bodyPr rot="0" vert="horz"/>
          <a:lstStyle/>
          <a:p>
            <a:pPr>
              <a:defRPr b="1" i="0" baseline="0"/>
            </a:pPr>
            <a:endParaRPr lang="fr-FR"/>
          </a:p>
        </c:txPr>
        <c:crossAx val="58669696"/>
        <c:crosses val="autoZero"/>
        <c:crossBetween val="midCat"/>
        <c:majorUnit val="0.5"/>
      </c:valAx>
    </c:plotArea>
    <c:plotVisOnly val="1"/>
    <c:dispBlanksAs val="gap"/>
  </c:chart>
  <c:spPr>
    <a:ln>
      <a:solidFill>
        <a:schemeClr val="bg1"/>
      </a:solidFill>
    </a:ln>
  </c:spPr>
  <c:txPr>
    <a:bodyPr/>
    <a:lstStyle/>
    <a:p>
      <a:pPr>
        <a:defRPr sz="1000" b="0" i="0" u="none" strike="noStrike" baseline="0">
          <a:solidFill>
            <a:srgbClr val="000000"/>
          </a:solidFill>
          <a:latin typeface="Times New Roman" pitchFamily="18" charset="0"/>
          <a:ea typeface="Calibri"/>
          <a:cs typeface="Times New Roman" pitchFamily="18" charset="0"/>
        </a:defRPr>
      </a:pPr>
      <a:endParaRPr lang="fr-FR"/>
    </a:p>
  </c:txPr>
  <c:externalData r:id="rId1"/>
  <c:userShapes r:id="rId2"/>
</c:chartSpace>
</file>

<file path=word/charts/chart70.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a:pPr>
            <a:r>
              <a:rPr lang="fr-FR" sz="1800" b="0">
                <a:latin typeface="Times New Roman" pitchFamily="18" charset="0"/>
                <a:cs typeface="Times New Roman" pitchFamily="18" charset="0"/>
              </a:rPr>
              <a:t>A</a:t>
            </a:r>
          </a:p>
        </c:rich>
      </c:tx>
      <c:layout>
        <c:manualLayout>
          <c:xMode val="edge"/>
          <c:yMode val="edge"/>
          <c:x val="2.0639834881321026E-3"/>
          <c:y val="0"/>
        </c:manualLayout>
      </c:layout>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21910722126276971"/>
          <c:y val="0.11218219403990425"/>
          <c:w val="0.71134947140895455"/>
          <c:h val="0.66401969665296423"/>
        </c:manualLayout>
      </c:layout>
      <c:lineChart>
        <c:grouping val="standard"/>
        <c:ser>
          <c:idx val="0"/>
          <c:order val="0"/>
          <c:tx>
            <c:strRef>
              <c:f>Sheet2!$B$95</c:f>
              <c:strCache>
                <c:ptCount val="1"/>
                <c:pt idx="0">
                  <c:v>1 (Temoin)</c:v>
                </c:pt>
              </c:strCache>
            </c:strRef>
          </c:tx>
          <c:spPr>
            <a:ln w="12700"/>
          </c:spPr>
          <c:errBars>
            <c:errDir val="y"/>
            <c:errBarType val="both"/>
            <c:errValType val="cust"/>
            <c:plus>
              <c:numRef>
                <c:f>Sheet1!$I$37:$M$37</c:f>
                <c:numCache>
                  <c:formatCode>General</c:formatCode>
                  <c:ptCount val="5"/>
                  <c:pt idx="0">
                    <c:v>1.2E-2</c:v>
                  </c:pt>
                  <c:pt idx="1">
                    <c:v>1.7999999999999999E-2</c:v>
                  </c:pt>
                  <c:pt idx="2">
                    <c:v>1.2E-2</c:v>
                  </c:pt>
                  <c:pt idx="3">
                    <c:v>2.1000000000000012E-2</c:v>
                  </c:pt>
                  <c:pt idx="4">
                    <c:v>2.5999999999999999E-2</c:v>
                  </c:pt>
                </c:numCache>
              </c:numRef>
            </c:plus>
            <c:minus>
              <c:numRef>
                <c:f>Sheet1!$I$37:$M$37</c:f>
                <c:numCache>
                  <c:formatCode>General</c:formatCode>
                  <c:ptCount val="5"/>
                  <c:pt idx="0">
                    <c:v>1.2E-2</c:v>
                  </c:pt>
                  <c:pt idx="1">
                    <c:v>1.7999999999999999E-2</c:v>
                  </c:pt>
                  <c:pt idx="2">
                    <c:v>1.2E-2</c:v>
                  </c:pt>
                  <c:pt idx="3">
                    <c:v>2.1000000000000012E-2</c:v>
                  </c:pt>
                  <c:pt idx="4">
                    <c:v>2.5999999999999999E-2</c:v>
                  </c:pt>
                </c:numCache>
              </c:numRef>
            </c:minus>
          </c:errBars>
          <c:cat>
            <c:strRef>
              <c:f>Sheet2!$A$96:$A$99</c:f>
              <c:strCache>
                <c:ptCount val="4"/>
                <c:pt idx="0">
                  <c:v>7 j</c:v>
                </c:pt>
                <c:pt idx="1">
                  <c:v>14 j</c:v>
                </c:pt>
                <c:pt idx="2">
                  <c:v>21 j</c:v>
                </c:pt>
                <c:pt idx="3">
                  <c:v>28 j</c:v>
                </c:pt>
              </c:strCache>
            </c:strRef>
          </c:cat>
          <c:val>
            <c:numRef>
              <c:f>Sheet2!$B$96:$B$99</c:f>
              <c:numCache>
                <c:formatCode>General</c:formatCode>
                <c:ptCount val="4"/>
                <c:pt idx="0">
                  <c:v>4.91</c:v>
                </c:pt>
                <c:pt idx="1">
                  <c:v>4.8499999999999996</c:v>
                </c:pt>
                <c:pt idx="2">
                  <c:v>4.79</c:v>
                </c:pt>
                <c:pt idx="3">
                  <c:v>4.71</c:v>
                </c:pt>
              </c:numCache>
            </c:numRef>
          </c:val>
        </c:ser>
        <c:ser>
          <c:idx val="1"/>
          <c:order val="1"/>
          <c:tx>
            <c:strRef>
              <c:f>Sheet2!$C$95</c:f>
              <c:strCache>
                <c:ptCount val="1"/>
                <c:pt idx="0">
                  <c:v>2 (Lactoserum)</c:v>
                </c:pt>
              </c:strCache>
            </c:strRef>
          </c:tx>
          <c:spPr>
            <a:ln w="12700">
              <a:solidFill>
                <a:srgbClr val="FF9900"/>
              </a:solidFill>
            </a:ln>
          </c:spPr>
          <c:marker>
            <c:symbol val="square"/>
            <c:size val="2"/>
            <c:spPr>
              <a:solidFill>
                <a:srgbClr val="FF9900"/>
              </a:solidFill>
              <a:ln>
                <a:solidFill>
                  <a:srgbClr val="FF9900"/>
                </a:solidFill>
              </a:ln>
            </c:spPr>
          </c:marker>
          <c:errBars>
            <c:errDir val="y"/>
            <c:errBarType val="both"/>
            <c:errValType val="cust"/>
            <c:plus>
              <c:numRef>
                <c:f>Sheet1!$I$38:$M$38</c:f>
                <c:numCache>
                  <c:formatCode>General</c:formatCode>
                  <c:ptCount val="5"/>
                  <c:pt idx="0">
                    <c:v>1.2E-2</c:v>
                  </c:pt>
                  <c:pt idx="1">
                    <c:v>1.4E-2</c:v>
                  </c:pt>
                  <c:pt idx="2">
                    <c:v>1.2E-2</c:v>
                  </c:pt>
                  <c:pt idx="3">
                    <c:v>2.1000000000000012E-2</c:v>
                  </c:pt>
                  <c:pt idx="4">
                    <c:v>1.2E-2</c:v>
                  </c:pt>
                </c:numCache>
              </c:numRef>
            </c:plus>
            <c:minus>
              <c:numRef>
                <c:f>Sheet1!$I$38:$M$38</c:f>
                <c:numCache>
                  <c:formatCode>General</c:formatCode>
                  <c:ptCount val="5"/>
                  <c:pt idx="0">
                    <c:v>1.2E-2</c:v>
                  </c:pt>
                  <c:pt idx="1">
                    <c:v>1.4E-2</c:v>
                  </c:pt>
                  <c:pt idx="2">
                    <c:v>1.2E-2</c:v>
                  </c:pt>
                  <c:pt idx="3">
                    <c:v>2.1000000000000012E-2</c:v>
                  </c:pt>
                  <c:pt idx="4">
                    <c:v>1.2E-2</c:v>
                  </c:pt>
                </c:numCache>
              </c:numRef>
            </c:minus>
          </c:errBars>
          <c:cat>
            <c:strRef>
              <c:f>Sheet2!$A$96:$A$99</c:f>
              <c:strCache>
                <c:ptCount val="4"/>
                <c:pt idx="0">
                  <c:v>7 j</c:v>
                </c:pt>
                <c:pt idx="1">
                  <c:v>14 j</c:v>
                </c:pt>
                <c:pt idx="2">
                  <c:v>21 j</c:v>
                </c:pt>
                <c:pt idx="3">
                  <c:v>28 j</c:v>
                </c:pt>
              </c:strCache>
            </c:strRef>
          </c:cat>
          <c:val>
            <c:numRef>
              <c:f>Sheet2!$C$96:$C$99</c:f>
              <c:numCache>
                <c:formatCode>General</c:formatCode>
                <c:ptCount val="4"/>
                <c:pt idx="0">
                  <c:v>4.72</c:v>
                </c:pt>
                <c:pt idx="1">
                  <c:v>4.6099999999999985</c:v>
                </c:pt>
                <c:pt idx="2">
                  <c:v>4.5199999999999996</c:v>
                </c:pt>
                <c:pt idx="3">
                  <c:v>4.45</c:v>
                </c:pt>
              </c:numCache>
            </c:numRef>
          </c:val>
        </c:ser>
        <c:ser>
          <c:idx val="2"/>
          <c:order val="2"/>
          <c:tx>
            <c:strRef>
              <c:f>Sheet2!$D$95</c:f>
              <c:strCache>
                <c:ptCount val="1"/>
                <c:pt idx="0">
                  <c:v>3 (Promilk)</c:v>
                </c:pt>
              </c:strCache>
            </c:strRef>
          </c:tx>
          <c:spPr>
            <a:ln w="12700">
              <a:solidFill>
                <a:srgbClr val="92D050"/>
              </a:solidFill>
            </a:ln>
          </c:spPr>
          <c:marker>
            <c:spPr>
              <a:solidFill>
                <a:srgbClr val="92D050"/>
              </a:solidFill>
              <a:ln>
                <a:solidFill>
                  <a:srgbClr val="92D050"/>
                </a:solidFill>
              </a:ln>
            </c:spPr>
          </c:marker>
          <c:errBars>
            <c:errDir val="y"/>
            <c:errBarType val="both"/>
            <c:errValType val="cust"/>
            <c:plus>
              <c:numRef>
                <c:f>Sheet1!$I$39:$M$39</c:f>
                <c:numCache>
                  <c:formatCode>General</c:formatCode>
                  <c:ptCount val="5"/>
                  <c:pt idx="0">
                    <c:v>8.0000000000000227E-3</c:v>
                  </c:pt>
                  <c:pt idx="1">
                    <c:v>1.0000000000000005E-2</c:v>
                  </c:pt>
                  <c:pt idx="2">
                    <c:v>1.7999999999999999E-2</c:v>
                  </c:pt>
                  <c:pt idx="3">
                    <c:v>2.7000000000000138E-2</c:v>
                  </c:pt>
                  <c:pt idx="4">
                    <c:v>2.5999999999999999E-2</c:v>
                  </c:pt>
                </c:numCache>
              </c:numRef>
            </c:plus>
            <c:minus>
              <c:numRef>
                <c:f>Sheet1!$I$39:$M$39</c:f>
                <c:numCache>
                  <c:formatCode>General</c:formatCode>
                  <c:ptCount val="5"/>
                  <c:pt idx="0">
                    <c:v>8.0000000000000227E-3</c:v>
                  </c:pt>
                  <c:pt idx="1">
                    <c:v>1.0000000000000005E-2</c:v>
                  </c:pt>
                  <c:pt idx="2">
                    <c:v>1.7999999999999999E-2</c:v>
                  </c:pt>
                  <c:pt idx="3">
                    <c:v>2.7000000000000138E-2</c:v>
                  </c:pt>
                  <c:pt idx="4">
                    <c:v>2.5999999999999999E-2</c:v>
                  </c:pt>
                </c:numCache>
              </c:numRef>
            </c:minus>
          </c:errBars>
          <c:cat>
            <c:strRef>
              <c:f>Sheet2!$A$96:$A$99</c:f>
              <c:strCache>
                <c:ptCount val="4"/>
                <c:pt idx="0">
                  <c:v>7 j</c:v>
                </c:pt>
                <c:pt idx="1">
                  <c:v>14 j</c:v>
                </c:pt>
                <c:pt idx="2">
                  <c:v>21 j</c:v>
                </c:pt>
                <c:pt idx="3">
                  <c:v>28 j</c:v>
                </c:pt>
              </c:strCache>
            </c:strRef>
          </c:cat>
          <c:val>
            <c:numRef>
              <c:f>Sheet2!$D$96:$D$99</c:f>
              <c:numCache>
                <c:formatCode>General</c:formatCode>
                <c:ptCount val="4"/>
                <c:pt idx="0">
                  <c:v>4.8199999999999985</c:v>
                </c:pt>
                <c:pt idx="1">
                  <c:v>4.7300000000000004</c:v>
                </c:pt>
                <c:pt idx="2">
                  <c:v>4.6599999999999975</c:v>
                </c:pt>
                <c:pt idx="3">
                  <c:v>4.5599999999999996</c:v>
                </c:pt>
              </c:numCache>
            </c:numRef>
          </c:val>
        </c:ser>
        <c:ser>
          <c:idx val="3"/>
          <c:order val="3"/>
          <c:tx>
            <c:strRef>
              <c:f>Sheet2!$E$95</c:f>
              <c:strCache>
                <c:ptCount val="1"/>
                <c:pt idx="0">
                  <c:v>4 (H. Caseine)</c:v>
                </c:pt>
              </c:strCache>
            </c:strRef>
          </c:tx>
          <c:spPr>
            <a:ln w="12700">
              <a:solidFill>
                <a:srgbClr val="990099"/>
              </a:solidFill>
            </a:ln>
          </c:spPr>
          <c:marker>
            <c:spPr>
              <a:solidFill>
                <a:srgbClr val="990099"/>
              </a:solidFill>
              <a:ln>
                <a:solidFill>
                  <a:srgbClr val="990099"/>
                </a:solidFill>
              </a:ln>
            </c:spPr>
          </c:marker>
          <c:errBars>
            <c:errDir val="y"/>
            <c:errBarType val="both"/>
            <c:errValType val="cust"/>
            <c:plus>
              <c:numRef>
                <c:f>Sheet1!$I$40:$M$40</c:f>
                <c:numCache>
                  <c:formatCode>General</c:formatCode>
                  <c:ptCount val="5"/>
                  <c:pt idx="0">
                    <c:v>1.7999999999999999E-2</c:v>
                  </c:pt>
                  <c:pt idx="1">
                    <c:v>1.6000000000000021E-2</c:v>
                  </c:pt>
                  <c:pt idx="2">
                    <c:v>2.3E-2</c:v>
                  </c:pt>
                  <c:pt idx="3">
                    <c:v>1.7000000000000001E-2</c:v>
                  </c:pt>
                  <c:pt idx="4">
                    <c:v>2.7000000000000138E-2</c:v>
                  </c:pt>
                </c:numCache>
              </c:numRef>
            </c:plus>
            <c:minus>
              <c:numRef>
                <c:f>Sheet1!$I$40:$M$40</c:f>
                <c:numCache>
                  <c:formatCode>General</c:formatCode>
                  <c:ptCount val="5"/>
                  <c:pt idx="0">
                    <c:v>1.7999999999999999E-2</c:v>
                  </c:pt>
                  <c:pt idx="1">
                    <c:v>1.6000000000000021E-2</c:v>
                  </c:pt>
                  <c:pt idx="2">
                    <c:v>2.3E-2</c:v>
                  </c:pt>
                  <c:pt idx="3">
                    <c:v>1.7000000000000001E-2</c:v>
                  </c:pt>
                  <c:pt idx="4">
                    <c:v>2.7000000000000138E-2</c:v>
                  </c:pt>
                </c:numCache>
              </c:numRef>
            </c:minus>
          </c:errBars>
          <c:cat>
            <c:strRef>
              <c:f>Sheet2!$A$96:$A$99</c:f>
              <c:strCache>
                <c:ptCount val="4"/>
                <c:pt idx="0">
                  <c:v>7 j</c:v>
                </c:pt>
                <c:pt idx="1">
                  <c:v>14 j</c:v>
                </c:pt>
                <c:pt idx="2">
                  <c:v>21 j</c:v>
                </c:pt>
                <c:pt idx="3">
                  <c:v>28 j</c:v>
                </c:pt>
              </c:strCache>
            </c:strRef>
          </c:cat>
          <c:val>
            <c:numRef>
              <c:f>Sheet2!$E$96:$E$99</c:f>
              <c:numCache>
                <c:formatCode>General</c:formatCode>
                <c:ptCount val="4"/>
                <c:pt idx="0">
                  <c:v>4.8</c:v>
                </c:pt>
                <c:pt idx="1">
                  <c:v>4.7</c:v>
                </c:pt>
                <c:pt idx="2">
                  <c:v>4.5999999999999996</c:v>
                </c:pt>
                <c:pt idx="3">
                  <c:v>4.5199999999999996</c:v>
                </c:pt>
              </c:numCache>
            </c:numRef>
          </c:val>
        </c:ser>
        <c:ser>
          <c:idx val="4"/>
          <c:order val="4"/>
          <c:tx>
            <c:strRef>
              <c:f>Sheet2!$F$95</c:f>
              <c:strCache>
                <c:ptCount val="1"/>
                <c:pt idx="0">
                  <c:v>5 (H. Proteine)</c:v>
                </c:pt>
              </c:strCache>
            </c:strRef>
          </c:tx>
          <c:spPr>
            <a:ln w="12700">
              <a:solidFill>
                <a:srgbClr val="FF33CC"/>
              </a:solidFill>
            </a:ln>
          </c:spPr>
          <c:marker>
            <c:symbol val="circle"/>
            <c:size val="4"/>
            <c:spPr>
              <a:solidFill>
                <a:srgbClr val="FF33CC"/>
              </a:solidFill>
              <a:ln>
                <a:solidFill>
                  <a:srgbClr val="FF33CC"/>
                </a:solidFill>
              </a:ln>
            </c:spPr>
          </c:marker>
          <c:cat>
            <c:strRef>
              <c:f>Sheet2!$A$96:$A$99</c:f>
              <c:strCache>
                <c:ptCount val="4"/>
                <c:pt idx="0">
                  <c:v>7 j</c:v>
                </c:pt>
                <c:pt idx="1">
                  <c:v>14 j</c:v>
                </c:pt>
                <c:pt idx="2">
                  <c:v>21 j</c:v>
                </c:pt>
                <c:pt idx="3">
                  <c:v>28 j</c:v>
                </c:pt>
              </c:strCache>
            </c:strRef>
          </c:cat>
          <c:val>
            <c:numRef>
              <c:f>Sheet2!$F$96:$F$99</c:f>
              <c:numCache>
                <c:formatCode>General</c:formatCode>
                <c:ptCount val="4"/>
                <c:pt idx="0">
                  <c:v>4.8499999999999996</c:v>
                </c:pt>
                <c:pt idx="1">
                  <c:v>4.76</c:v>
                </c:pt>
                <c:pt idx="2">
                  <c:v>4.6599999999999975</c:v>
                </c:pt>
                <c:pt idx="3">
                  <c:v>4.55</c:v>
                </c:pt>
              </c:numCache>
            </c:numRef>
          </c:val>
        </c:ser>
        <c:marker val="1"/>
        <c:axId val="80784768"/>
        <c:axId val="80795520"/>
      </c:lineChart>
      <c:catAx>
        <c:axId val="80784768"/>
        <c:scaling>
          <c:orientation val="minMax"/>
        </c:scaling>
        <c:axPos val="b"/>
        <c:title>
          <c:tx>
            <c:rich>
              <a:bodyPr/>
              <a:lstStyle/>
              <a:p>
                <a:pPr>
                  <a:defRPr sz="1000" b="1" i="0" u="none" strike="noStrike" baseline="0">
                    <a:solidFill>
                      <a:srgbClr val="000000"/>
                    </a:solidFill>
                    <a:latin typeface="Times New Roman"/>
                    <a:ea typeface="Times New Roman"/>
                    <a:cs typeface="Times New Roman"/>
                  </a:defRPr>
                </a:pPr>
                <a:r>
                  <a:rPr lang="fr-FR"/>
                  <a:t>Entreposage à +4°C en jours</a:t>
                </a:r>
              </a:p>
            </c:rich>
          </c:tx>
          <c:layout>
            <c:manualLayout>
              <c:xMode val="edge"/>
              <c:yMode val="edge"/>
              <c:x val="0.17935114987950004"/>
              <c:y val="0.91509852935049785"/>
            </c:manualLayout>
          </c:layout>
        </c:title>
        <c:numFmt formatCode="General" sourceLinked="1"/>
        <c:tickLblPos val="nextTo"/>
        <c:spPr>
          <a:ln w="9525">
            <a:solidFill>
              <a:schemeClr val="tx1"/>
            </a:solidFill>
          </a:ln>
        </c:spPr>
        <c:txPr>
          <a:bodyPr rot="0" vert="horz"/>
          <a:lstStyle/>
          <a:p>
            <a:pPr>
              <a:defRPr sz="1000" b="1" i="0" u="none" strike="noStrike" baseline="0">
                <a:solidFill>
                  <a:srgbClr val="000000"/>
                </a:solidFill>
                <a:latin typeface="Calibri"/>
                <a:ea typeface="Calibri"/>
                <a:cs typeface="Calibri"/>
              </a:defRPr>
            </a:pPr>
            <a:endParaRPr lang="fr-FR"/>
          </a:p>
        </c:txPr>
        <c:crossAx val="80795520"/>
        <c:crosses val="autoZero"/>
        <c:auto val="1"/>
        <c:lblAlgn val="ctr"/>
        <c:lblOffset val="100"/>
      </c:catAx>
      <c:valAx>
        <c:axId val="80795520"/>
        <c:scaling>
          <c:orientation val="minMax"/>
          <c:min val="4.4000000000000004"/>
        </c:scaling>
        <c:axPos val="l"/>
        <c:title>
          <c:tx>
            <c:rich>
              <a:bodyPr/>
              <a:lstStyle/>
              <a:p>
                <a:pPr>
                  <a:defRPr sz="1000" b="1" i="0" u="none" strike="noStrike" baseline="0">
                    <a:solidFill>
                      <a:srgbClr val="000000"/>
                    </a:solidFill>
                    <a:latin typeface="Calibri"/>
                    <a:ea typeface="Calibri"/>
                    <a:cs typeface="Calibri"/>
                  </a:defRPr>
                </a:pPr>
                <a:r>
                  <a:rPr lang="fr-FR"/>
                  <a:t>pH</a:t>
                </a:r>
              </a:p>
            </c:rich>
          </c:tx>
          <c:layout/>
        </c:title>
        <c:numFmt formatCode="General" sourceLinked="1"/>
        <c:tickLblPos val="nextTo"/>
        <c:spPr>
          <a:ln w="9525">
            <a:solidFill>
              <a:schemeClr val="tx1"/>
            </a:solidFill>
          </a:ln>
        </c:spPr>
        <c:txPr>
          <a:bodyPr rot="0" vert="horz"/>
          <a:lstStyle/>
          <a:p>
            <a:pPr>
              <a:defRPr sz="1000" b="1" i="0" u="none" strike="noStrike" baseline="0">
                <a:solidFill>
                  <a:srgbClr val="000000"/>
                </a:solidFill>
                <a:latin typeface="Calibri"/>
                <a:ea typeface="Calibri"/>
                <a:cs typeface="Calibri"/>
              </a:defRPr>
            </a:pPr>
            <a:endParaRPr lang="fr-FR"/>
          </a:p>
        </c:txPr>
        <c:crossAx val="80784768"/>
        <c:crosses val="autoZero"/>
        <c:crossBetween val="midCat"/>
        <c:majorUnit val="0.1"/>
      </c:valAx>
    </c:plotArea>
    <c:plotVisOnly val="1"/>
    <c:dispBlanksAs val="gap"/>
  </c:chart>
  <c:spPr>
    <a:ln>
      <a:solidFill>
        <a:schemeClr val="bg1"/>
      </a:solidFill>
    </a:ln>
  </c:spPr>
  <c:txPr>
    <a:bodyPr/>
    <a:lstStyle/>
    <a:p>
      <a:pPr>
        <a:defRPr sz="1000" b="0" i="0" u="none" strike="noStrike" baseline="0">
          <a:solidFill>
            <a:srgbClr val="000000"/>
          </a:solidFill>
          <a:latin typeface="Calibri"/>
          <a:ea typeface="Calibri"/>
          <a:cs typeface="Calibri"/>
        </a:defRPr>
      </a:pPr>
      <a:endParaRPr lang="fr-FR"/>
    </a:p>
  </c:txPr>
  <c:externalData r:id="rId1"/>
  <c:userShapes r:id="rId2"/>
</c:chartSpace>
</file>

<file path=word/charts/chart71.xml><?xml version="1.0" encoding="utf-8"?>
<c:chartSpace xmlns:c="http://schemas.openxmlformats.org/drawingml/2006/chart" xmlns:a="http://schemas.openxmlformats.org/drawingml/2006/main" xmlns:r="http://schemas.openxmlformats.org/officeDocument/2006/relationships">
  <c:date1904 val="1"/>
  <c:lang val="fr-FR"/>
  <c:style val="26"/>
  <c:chart>
    <c:plotArea>
      <c:layout>
        <c:manualLayout>
          <c:layoutTarget val="inner"/>
          <c:xMode val="edge"/>
          <c:yMode val="edge"/>
          <c:x val="0.15213459736601664"/>
          <c:y val="6.6162588262325794E-2"/>
          <c:w val="0.79010584142098561"/>
          <c:h val="0.7541056830261833"/>
        </c:manualLayout>
      </c:layout>
      <c:barChart>
        <c:barDir val="col"/>
        <c:grouping val="clustered"/>
        <c:ser>
          <c:idx val="0"/>
          <c:order val="0"/>
          <c:tx>
            <c:strRef>
              <c:f>ferment!$C$3</c:f>
              <c:strCache>
                <c:ptCount val="1"/>
                <c:pt idx="0">
                  <c:v>1 (Témoin)</c:v>
                </c:pt>
              </c:strCache>
            </c:strRef>
          </c:tx>
          <c:spPr>
            <a:solidFill>
              <a:srgbClr val="0070C0"/>
            </a:solidFill>
            <a:ln>
              <a:solidFill>
                <a:srgbClr val="0070C0"/>
              </a:solidFill>
            </a:ln>
          </c:spPr>
          <c:errBars>
            <c:errBarType val="both"/>
            <c:errValType val="cust"/>
            <c:plus>
              <c:numRef>
                <c:f>ferment!$J$4:$J$5</c:f>
                <c:numCache>
                  <c:formatCode>General</c:formatCode>
                  <c:ptCount val="2"/>
                  <c:pt idx="0">
                    <c:v>1.137</c:v>
                  </c:pt>
                  <c:pt idx="1">
                    <c:v>5.7919999999999998</c:v>
                  </c:pt>
                </c:numCache>
              </c:numRef>
            </c:plus>
            <c:minus>
              <c:numRef>
                <c:f>ferment!$J$4:$J$5</c:f>
                <c:numCache>
                  <c:formatCode>General</c:formatCode>
                  <c:ptCount val="2"/>
                  <c:pt idx="0">
                    <c:v>1.137</c:v>
                  </c:pt>
                  <c:pt idx="1">
                    <c:v>5.7919999999999998</c:v>
                  </c:pt>
                </c:numCache>
              </c:numRef>
            </c:minus>
          </c:errBars>
          <c:cat>
            <c:strRef>
              <c:f>ferment!$B$4:$B$5</c:f>
              <c:strCache>
                <c:ptCount val="2"/>
                <c:pt idx="0">
                  <c:v>St+Lbb</c:v>
                </c:pt>
                <c:pt idx="1">
                  <c:v>St</c:v>
                </c:pt>
              </c:strCache>
            </c:strRef>
          </c:cat>
          <c:val>
            <c:numRef>
              <c:f>ferment!$C$4:$C$5</c:f>
              <c:numCache>
                <c:formatCode>General</c:formatCode>
                <c:ptCount val="2"/>
                <c:pt idx="0">
                  <c:v>107.9</c:v>
                </c:pt>
                <c:pt idx="1">
                  <c:v>95.75</c:v>
                </c:pt>
              </c:numCache>
            </c:numRef>
          </c:val>
        </c:ser>
        <c:ser>
          <c:idx val="1"/>
          <c:order val="1"/>
          <c:tx>
            <c:strRef>
              <c:f>ferment!$D$3</c:f>
              <c:strCache>
                <c:ptCount val="1"/>
                <c:pt idx="0">
                  <c:v>2 (Lactoserum)</c:v>
                </c:pt>
              </c:strCache>
            </c:strRef>
          </c:tx>
          <c:spPr>
            <a:solidFill>
              <a:srgbClr val="FF9900"/>
            </a:solidFill>
            <a:ln>
              <a:solidFill>
                <a:srgbClr val="FF9900"/>
              </a:solidFill>
            </a:ln>
          </c:spPr>
          <c:errBars>
            <c:errBarType val="both"/>
            <c:errValType val="cust"/>
            <c:plus>
              <c:numRef>
                <c:f>ferment!$K$4:$K$5</c:f>
                <c:numCache>
                  <c:formatCode>General</c:formatCode>
                  <c:ptCount val="2"/>
                  <c:pt idx="0">
                    <c:v>1.1980000000000028</c:v>
                  </c:pt>
                  <c:pt idx="1">
                    <c:v>12.77</c:v>
                  </c:pt>
                </c:numCache>
              </c:numRef>
            </c:plus>
            <c:minus>
              <c:numRef>
                <c:f>ferment!$K$4:$K$5</c:f>
                <c:numCache>
                  <c:formatCode>General</c:formatCode>
                  <c:ptCount val="2"/>
                  <c:pt idx="0">
                    <c:v>1.1980000000000028</c:v>
                  </c:pt>
                  <c:pt idx="1">
                    <c:v>12.77</c:v>
                  </c:pt>
                </c:numCache>
              </c:numRef>
            </c:minus>
          </c:errBars>
          <c:cat>
            <c:strRef>
              <c:f>ferment!$B$4:$B$5</c:f>
              <c:strCache>
                <c:ptCount val="2"/>
                <c:pt idx="0">
                  <c:v>St+Lbb</c:v>
                </c:pt>
                <c:pt idx="1">
                  <c:v>St</c:v>
                </c:pt>
              </c:strCache>
            </c:strRef>
          </c:cat>
          <c:val>
            <c:numRef>
              <c:f>ferment!$D$4:$D$5</c:f>
              <c:numCache>
                <c:formatCode>General</c:formatCode>
                <c:ptCount val="2"/>
                <c:pt idx="0">
                  <c:v>178.2</c:v>
                </c:pt>
                <c:pt idx="1">
                  <c:v>186.33</c:v>
                </c:pt>
              </c:numCache>
            </c:numRef>
          </c:val>
        </c:ser>
        <c:ser>
          <c:idx val="2"/>
          <c:order val="2"/>
          <c:tx>
            <c:strRef>
              <c:f>ferment!$E$3</c:f>
              <c:strCache>
                <c:ptCount val="1"/>
                <c:pt idx="0">
                  <c:v>3 (Promilk)</c:v>
                </c:pt>
              </c:strCache>
            </c:strRef>
          </c:tx>
          <c:spPr>
            <a:solidFill>
              <a:srgbClr val="00B050"/>
            </a:solidFill>
          </c:spPr>
          <c:dPt>
            <c:idx val="0"/>
            <c:spPr>
              <a:solidFill>
                <a:srgbClr val="92D050"/>
              </a:solidFill>
              <a:ln>
                <a:solidFill>
                  <a:srgbClr val="92D050"/>
                </a:solidFill>
              </a:ln>
            </c:spPr>
          </c:dPt>
          <c:errBars>
            <c:errBarType val="both"/>
            <c:errValType val="cust"/>
            <c:plus>
              <c:numRef>
                <c:f>ferment!$L$4:$L$5</c:f>
                <c:numCache>
                  <c:formatCode>General</c:formatCode>
                  <c:ptCount val="2"/>
                  <c:pt idx="0">
                    <c:v>1.206</c:v>
                  </c:pt>
                  <c:pt idx="1">
                    <c:v>5.6959999999999882</c:v>
                  </c:pt>
                </c:numCache>
              </c:numRef>
            </c:plus>
            <c:minus>
              <c:numRef>
                <c:f>ferment!$L$4:$L$5</c:f>
                <c:numCache>
                  <c:formatCode>General</c:formatCode>
                  <c:ptCount val="2"/>
                  <c:pt idx="0">
                    <c:v>1.206</c:v>
                  </c:pt>
                  <c:pt idx="1">
                    <c:v>5.6959999999999882</c:v>
                  </c:pt>
                </c:numCache>
              </c:numRef>
            </c:minus>
          </c:errBars>
          <c:cat>
            <c:strRef>
              <c:f>ferment!$B$4:$B$5</c:f>
              <c:strCache>
                <c:ptCount val="2"/>
                <c:pt idx="0">
                  <c:v>St+Lbb</c:v>
                </c:pt>
                <c:pt idx="1">
                  <c:v>St</c:v>
                </c:pt>
              </c:strCache>
            </c:strRef>
          </c:cat>
          <c:val>
            <c:numRef>
              <c:f>ferment!$E$4:$E$5</c:f>
              <c:numCache>
                <c:formatCode>General</c:formatCode>
                <c:ptCount val="2"/>
                <c:pt idx="0">
                  <c:v>101.85</c:v>
                </c:pt>
                <c:pt idx="1">
                  <c:v>88.983000000000004</c:v>
                </c:pt>
              </c:numCache>
            </c:numRef>
          </c:val>
        </c:ser>
        <c:ser>
          <c:idx val="3"/>
          <c:order val="3"/>
          <c:tx>
            <c:strRef>
              <c:f>ferment!$F$3</c:f>
              <c:strCache>
                <c:ptCount val="1"/>
                <c:pt idx="0">
                  <c:v>4 (H. Caseine)</c:v>
                </c:pt>
              </c:strCache>
            </c:strRef>
          </c:tx>
          <c:spPr>
            <a:solidFill>
              <a:srgbClr val="990099"/>
            </a:solidFill>
            <a:ln>
              <a:solidFill>
                <a:srgbClr val="990099"/>
              </a:solidFill>
            </a:ln>
          </c:spPr>
          <c:errBars>
            <c:errBarType val="both"/>
            <c:errValType val="cust"/>
            <c:plus>
              <c:numRef>
                <c:f>ferment!$M$4:$M$5</c:f>
                <c:numCache>
                  <c:formatCode>General</c:formatCode>
                  <c:ptCount val="2"/>
                  <c:pt idx="0">
                    <c:v>1.3140000000000001</c:v>
                  </c:pt>
                  <c:pt idx="1">
                    <c:v>3.0030000000000001</c:v>
                  </c:pt>
                </c:numCache>
              </c:numRef>
            </c:plus>
            <c:minus>
              <c:numRef>
                <c:f>ferment!$M$4:$M$5</c:f>
                <c:numCache>
                  <c:formatCode>General</c:formatCode>
                  <c:ptCount val="2"/>
                  <c:pt idx="0">
                    <c:v>1.3140000000000001</c:v>
                  </c:pt>
                  <c:pt idx="1">
                    <c:v>3.0030000000000001</c:v>
                  </c:pt>
                </c:numCache>
              </c:numRef>
            </c:minus>
          </c:errBars>
          <c:cat>
            <c:strRef>
              <c:f>ferment!$B$4:$B$5</c:f>
              <c:strCache>
                <c:ptCount val="2"/>
                <c:pt idx="0">
                  <c:v>St+Lbb</c:v>
                </c:pt>
                <c:pt idx="1">
                  <c:v>St</c:v>
                </c:pt>
              </c:strCache>
            </c:strRef>
          </c:cat>
          <c:val>
            <c:numRef>
              <c:f>ferment!$F$4:$F$5</c:f>
              <c:numCache>
                <c:formatCode>General</c:formatCode>
                <c:ptCount val="2"/>
                <c:pt idx="0">
                  <c:v>129.44999999999999</c:v>
                </c:pt>
                <c:pt idx="1">
                  <c:v>127.45</c:v>
                </c:pt>
              </c:numCache>
            </c:numRef>
          </c:val>
        </c:ser>
        <c:ser>
          <c:idx val="4"/>
          <c:order val="4"/>
          <c:tx>
            <c:strRef>
              <c:f>ferment!$G$3</c:f>
              <c:strCache>
                <c:ptCount val="1"/>
                <c:pt idx="0">
                  <c:v>5 (H. Proteine)</c:v>
                </c:pt>
              </c:strCache>
            </c:strRef>
          </c:tx>
          <c:spPr>
            <a:solidFill>
              <a:srgbClr val="FF33CC"/>
            </a:solidFill>
            <a:ln>
              <a:solidFill>
                <a:srgbClr val="FF33CC"/>
              </a:solidFill>
            </a:ln>
          </c:spPr>
          <c:errBars>
            <c:errBarType val="both"/>
            <c:errValType val="cust"/>
            <c:plus>
              <c:numRef>
                <c:f>ferment!$N$4:$N$5</c:f>
                <c:numCache>
                  <c:formatCode>General</c:formatCode>
                  <c:ptCount val="2"/>
                  <c:pt idx="0">
                    <c:v>1.536</c:v>
                  </c:pt>
                  <c:pt idx="1">
                    <c:v>4.5869999999999997</c:v>
                  </c:pt>
                </c:numCache>
              </c:numRef>
            </c:plus>
            <c:minus>
              <c:numRef>
                <c:f>ferment!$N$4:$N$5</c:f>
                <c:numCache>
                  <c:formatCode>General</c:formatCode>
                  <c:ptCount val="2"/>
                  <c:pt idx="0">
                    <c:v>1.536</c:v>
                  </c:pt>
                  <c:pt idx="1">
                    <c:v>4.5869999999999997</c:v>
                  </c:pt>
                </c:numCache>
              </c:numRef>
            </c:minus>
          </c:errBars>
          <c:cat>
            <c:strRef>
              <c:f>ferment!$B$4:$B$5</c:f>
              <c:strCache>
                <c:ptCount val="2"/>
                <c:pt idx="0">
                  <c:v>St+Lbb</c:v>
                </c:pt>
                <c:pt idx="1">
                  <c:v>St</c:v>
                </c:pt>
              </c:strCache>
            </c:strRef>
          </c:cat>
          <c:val>
            <c:numRef>
              <c:f>ferment!$G$4:$G$5</c:f>
              <c:numCache>
                <c:formatCode>General</c:formatCode>
                <c:ptCount val="2"/>
                <c:pt idx="0">
                  <c:v>142.85000000000036</c:v>
                </c:pt>
                <c:pt idx="1">
                  <c:v>147.31700000000001</c:v>
                </c:pt>
              </c:numCache>
            </c:numRef>
          </c:val>
        </c:ser>
        <c:axId val="81386496"/>
        <c:axId val="81392768"/>
      </c:barChart>
      <c:catAx>
        <c:axId val="81386496"/>
        <c:scaling>
          <c:orientation val="minMax"/>
        </c:scaling>
        <c:axPos val="b"/>
        <c:title>
          <c:tx>
            <c:rich>
              <a:bodyPr/>
              <a:lstStyle/>
              <a:p>
                <a:pPr>
                  <a:defRPr/>
                </a:pPr>
                <a:r>
                  <a:rPr lang="en-US">
                    <a:latin typeface="Times New Roman" pitchFamily="18" charset="0"/>
                    <a:cs typeface="Times New Roman" pitchFamily="18" charset="0"/>
                  </a:rPr>
                  <a:t>Les cultures des ferments lactiques </a:t>
                </a:r>
              </a:p>
            </c:rich>
          </c:tx>
          <c:layout>
            <c:manualLayout>
              <c:xMode val="edge"/>
              <c:yMode val="edge"/>
              <c:x val="0.33895397221688894"/>
              <c:y val="0.93466033917477565"/>
            </c:manualLayout>
          </c:layout>
        </c:title>
        <c:numFmt formatCode="General" sourceLinked="1"/>
        <c:tickLblPos val="nextTo"/>
        <c:spPr>
          <a:ln>
            <a:solidFill>
              <a:sysClr val="windowText" lastClr="000000"/>
            </a:solidFill>
          </a:ln>
        </c:spPr>
        <c:txPr>
          <a:bodyPr/>
          <a:lstStyle/>
          <a:p>
            <a:pPr>
              <a:defRPr b="1"/>
            </a:pPr>
            <a:endParaRPr lang="fr-FR"/>
          </a:p>
        </c:txPr>
        <c:crossAx val="81392768"/>
        <c:crosses val="autoZero"/>
        <c:auto val="1"/>
        <c:lblAlgn val="ctr"/>
        <c:lblOffset val="100"/>
      </c:catAx>
      <c:valAx>
        <c:axId val="81392768"/>
        <c:scaling>
          <c:orientation val="minMax"/>
          <c:max val="200"/>
          <c:min val="50"/>
        </c:scaling>
        <c:axPos val="l"/>
        <c:title>
          <c:tx>
            <c:rich>
              <a:bodyPr/>
              <a:lstStyle/>
              <a:p>
                <a:pPr>
                  <a:defRPr/>
                </a:pPr>
                <a:r>
                  <a:rPr lang="en-US">
                    <a:latin typeface="Times New Roman" pitchFamily="18" charset="0"/>
                    <a:cs typeface="Times New Roman" pitchFamily="18" charset="0"/>
                  </a:rPr>
                  <a:t>EPS en mg/l</a:t>
                </a:r>
              </a:p>
            </c:rich>
          </c:tx>
          <c:layout/>
        </c:title>
        <c:numFmt formatCode="General" sourceLinked="1"/>
        <c:tickLblPos val="nextTo"/>
        <c:spPr>
          <a:ln>
            <a:solidFill>
              <a:sysClr val="windowText" lastClr="000000"/>
            </a:solidFill>
          </a:ln>
        </c:spPr>
        <c:txPr>
          <a:bodyPr/>
          <a:lstStyle/>
          <a:p>
            <a:pPr>
              <a:defRPr b="1"/>
            </a:pPr>
            <a:endParaRPr lang="fr-FR"/>
          </a:p>
        </c:txPr>
        <c:crossAx val="81386496"/>
        <c:crosses val="autoZero"/>
        <c:crossBetween val="between"/>
        <c:majorUnit val="50"/>
      </c:valAx>
    </c:plotArea>
    <c:plotVisOnly val="1"/>
    <c:dispBlanksAs val="gap"/>
  </c:chart>
  <c:spPr>
    <a:ln>
      <a:solidFill>
        <a:schemeClr val="bg1"/>
      </a:solidFill>
    </a:ln>
  </c:spPr>
  <c:externalData r:id="rId1"/>
</c:chartSpace>
</file>

<file path=word/charts/chart72.xml><?xml version="1.0" encoding="utf-8"?>
<c:chartSpace xmlns:c="http://schemas.openxmlformats.org/drawingml/2006/chart" xmlns:a="http://schemas.openxmlformats.org/drawingml/2006/main" xmlns:r="http://schemas.openxmlformats.org/officeDocument/2006/relationships">
  <c:date1904 val="1"/>
  <c:lang val="fr-FR"/>
  <c:style val="26"/>
  <c:chart>
    <c:plotArea>
      <c:layout>
        <c:manualLayout>
          <c:layoutTarget val="inner"/>
          <c:xMode val="edge"/>
          <c:yMode val="edge"/>
          <c:x val="0.16026269946345204"/>
          <c:y val="5.1759998531652078E-2"/>
          <c:w val="0.79810890446305205"/>
          <c:h val="0.74923811097039461"/>
        </c:manualLayout>
      </c:layout>
      <c:barChart>
        <c:barDir val="col"/>
        <c:grouping val="clustered"/>
        <c:ser>
          <c:idx val="0"/>
          <c:order val="0"/>
          <c:tx>
            <c:strRef>
              <c:f>ferment!$C$30</c:f>
              <c:strCache>
                <c:ptCount val="1"/>
                <c:pt idx="0">
                  <c:v>1 (Témoin)</c:v>
                </c:pt>
              </c:strCache>
            </c:strRef>
          </c:tx>
          <c:spPr>
            <a:solidFill>
              <a:srgbClr val="0070C0"/>
            </a:solidFill>
            <a:ln>
              <a:solidFill>
                <a:srgbClr val="0070C0"/>
              </a:solidFill>
            </a:ln>
          </c:spPr>
          <c:errBars>
            <c:errBarType val="both"/>
            <c:errValType val="cust"/>
            <c:plus>
              <c:numRef>
                <c:f>ferment!$J$31:$J$32</c:f>
                <c:numCache>
                  <c:formatCode>General</c:formatCode>
                  <c:ptCount val="2"/>
                  <c:pt idx="0">
                    <c:v>1.169</c:v>
                  </c:pt>
                  <c:pt idx="1">
                    <c:v>0.88500000000000001</c:v>
                  </c:pt>
                </c:numCache>
              </c:numRef>
            </c:plus>
            <c:minus>
              <c:numRef>
                <c:f>ferment!$J$31:$J$32</c:f>
                <c:numCache>
                  <c:formatCode>General</c:formatCode>
                  <c:ptCount val="2"/>
                  <c:pt idx="0">
                    <c:v>1.169</c:v>
                  </c:pt>
                  <c:pt idx="1">
                    <c:v>0.88500000000000001</c:v>
                  </c:pt>
                </c:numCache>
              </c:numRef>
            </c:minus>
          </c:errBars>
          <c:cat>
            <c:strRef>
              <c:f>ferment!$B$31:$B$32</c:f>
              <c:strCache>
                <c:ptCount val="2"/>
                <c:pt idx="0">
                  <c:v>St+Lbb</c:v>
                </c:pt>
                <c:pt idx="1">
                  <c:v>St</c:v>
                </c:pt>
              </c:strCache>
            </c:strRef>
          </c:cat>
          <c:val>
            <c:numRef>
              <c:f>ferment!$C$31:$C$32</c:f>
              <c:numCache>
                <c:formatCode>General</c:formatCode>
                <c:ptCount val="2"/>
                <c:pt idx="0">
                  <c:v>42.152000000000001</c:v>
                </c:pt>
                <c:pt idx="1">
                  <c:v>25.6</c:v>
                </c:pt>
              </c:numCache>
            </c:numRef>
          </c:val>
        </c:ser>
        <c:ser>
          <c:idx val="1"/>
          <c:order val="1"/>
          <c:tx>
            <c:strRef>
              <c:f>ferment!$D$30</c:f>
              <c:strCache>
                <c:ptCount val="1"/>
                <c:pt idx="0">
                  <c:v>2 (Lactoserum)</c:v>
                </c:pt>
              </c:strCache>
            </c:strRef>
          </c:tx>
          <c:spPr>
            <a:solidFill>
              <a:srgbClr val="FF9900"/>
            </a:solidFill>
            <a:ln>
              <a:solidFill>
                <a:srgbClr val="FF9900"/>
              </a:solidFill>
            </a:ln>
          </c:spPr>
          <c:errBars>
            <c:errBarType val="both"/>
            <c:errValType val="cust"/>
            <c:plus>
              <c:numRef>
                <c:f>ferment!$K$31:$K$32</c:f>
                <c:numCache>
                  <c:formatCode>General</c:formatCode>
                  <c:ptCount val="2"/>
                  <c:pt idx="0">
                    <c:v>0.91400000000000003</c:v>
                  </c:pt>
                  <c:pt idx="1">
                    <c:v>0.95300000000000062</c:v>
                  </c:pt>
                </c:numCache>
              </c:numRef>
            </c:plus>
            <c:minus>
              <c:numRef>
                <c:f>ferment!$K$31:$K$32</c:f>
                <c:numCache>
                  <c:formatCode>General</c:formatCode>
                  <c:ptCount val="2"/>
                  <c:pt idx="0">
                    <c:v>0.91400000000000003</c:v>
                  </c:pt>
                  <c:pt idx="1">
                    <c:v>0.95300000000000062</c:v>
                  </c:pt>
                </c:numCache>
              </c:numRef>
            </c:minus>
          </c:errBars>
          <c:cat>
            <c:strRef>
              <c:f>ferment!$B$31:$B$32</c:f>
              <c:strCache>
                <c:ptCount val="2"/>
                <c:pt idx="0">
                  <c:v>St+Lbb</c:v>
                </c:pt>
                <c:pt idx="1">
                  <c:v>St</c:v>
                </c:pt>
              </c:strCache>
            </c:strRef>
          </c:cat>
          <c:val>
            <c:numRef>
              <c:f>ferment!$D$31:$D$32</c:f>
              <c:numCache>
                <c:formatCode>General</c:formatCode>
                <c:ptCount val="2"/>
                <c:pt idx="0">
                  <c:v>58.411999999999999</c:v>
                </c:pt>
                <c:pt idx="1">
                  <c:v>68.400000000000006</c:v>
                </c:pt>
              </c:numCache>
            </c:numRef>
          </c:val>
        </c:ser>
        <c:ser>
          <c:idx val="2"/>
          <c:order val="2"/>
          <c:tx>
            <c:strRef>
              <c:f>ferment!$E$30</c:f>
              <c:strCache>
                <c:ptCount val="1"/>
                <c:pt idx="0">
                  <c:v>3 (Promilk)</c:v>
                </c:pt>
              </c:strCache>
            </c:strRef>
          </c:tx>
          <c:spPr>
            <a:solidFill>
              <a:srgbClr val="92D050"/>
            </a:solidFill>
            <a:ln>
              <a:solidFill>
                <a:srgbClr val="92D050"/>
              </a:solidFill>
            </a:ln>
          </c:spPr>
          <c:errBars>
            <c:errBarType val="both"/>
            <c:errValType val="cust"/>
            <c:plus>
              <c:numRef>
                <c:f>ferment!$L$31:$L$32</c:f>
                <c:numCache>
                  <c:formatCode>General</c:formatCode>
                  <c:ptCount val="2"/>
                  <c:pt idx="0">
                    <c:v>0.91100000000000003</c:v>
                  </c:pt>
                  <c:pt idx="1">
                    <c:v>0.81200000000000061</c:v>
                  </c:pt>
                </c:numCache>
              </c:numRef>
            </c:plus>
            <c:minus>
              <c:numRef>
                <c:f>ferment!$L$31:$L$32</c:f>
                <c:numCache>
                  <c:formatCode>General</c:formatCode>
                  <c:ptCount val="2"/>
                  <c:pt idx="0">
                    <c:v>0.91100000000000003</c:v>
                  </c:pt>
                  <c:pt idx="1">
                    <c:v>0.81200000000000061</c:v>
                  </c:pt>
                </c:numCache>
              </c:numRef>
            </c:minus>
          </c:errBars>
          <c:cat>
            <c:strRef>
              <c:f>ferment!$B$31:$B$32</c:f>
              <c:strCache>
                <c:ptCount val="2"/>
                <c:pt idx="0">
                  <c:v>St+Lbb</c:v>
                </c:pt>
                <c:pt idx="1">
                  <c:v>St</c:v>
                </c:pt>
              </c:strCache>
            </c:strRef>
          </c:cat>
          <c:val>
            <c:numRef>
              <c:f>ferment!$E$31:$E$32</c:f>
              <c:numCache>
                <c:formatCode>General</c:formatCode>
                <c:ptCount val="2"/>
                <c:pt idx="0">
                  <c:v>45.052</c:v>
                </c:pt>
                <c:pt idx="1">
                  <c:v>32.4</c:v>
                </c:pt>
              </c:numCache>
            </c:numRef>
          </c:val>
        </c:ser>
        <c:ser>
          <c:idx val="3"/>
          <c:order val="3"/>
          <c:tx>
            <c:strRef>
              <c:f>ferment!$F$30</c:f>
              <c:strCache>
                <c:ptCount val="1"/>
                <c:pt idx="0">
                  <c:v>4 (H. Caseine)</c:v>
                </c:pt>
              </c:strCache>
            </c:strRef>
          </c:tx>
          <c:spPr>
            <a:solidFill>
              <a:srgbClr val="990099"/>
            </a:solidFill>
            <a:ln>
              <a:solidFill>
                <a:srgbClr val="990099"/>
              </a:solidFill>
            </a:ln>
          </c:spPr>
          <c:errBars>
            <c:errBarType val="both"/>
            <c:errValType val="cust"/>
            <c:plus>
              <c:numRef>
                <c:f>ferment!$M$31:$M$32</c:f>
                <c:numCache>
                  <c:formatCode>General</c:formatCode>
                  <c:ptCount val="2"/>
                  <c:pt idx="0">
                    <c:v>0.87100000000000144</c:v>
                  </c:pt>
                  <c:pt idx="1">
                    <c:v>0.999</c:v>
                  </c:pt>
                </c:numCache>
              </c:numRef>
            </c:plus>
            <c:minus>
              <c:numRef>
                <c:f>ferment!$M$31:$M$32</c:f>
                <c:numCache>
                  <c:formatCode>General</c:formatCode>
                  <c:ptCount val="2"/>
                  <c:pt idx="0">
                    <c:v>0.87100000000000144</c:v>
                  </c:pt>
                  <c:pt idx="1">
                    <c:v>0.999</c:v>
                  </c:pt>
                </c:numCache>
              </c:numRef>
            </c:minus>
          </c:errBars>
          <c:cat>
            <c:strRef>
              <c:f>ferment!$B$31:$B$32</c:f>
              <c:strCache>
                <c:ptCount val="2"/>
                <c:pt idx="0">
                  <c:v>St+Lbb</c:v>
                </c:pt>
                <c:pt idx="1">
                  <c:v>St</c:v>
                </c:pt>
              </c:strCache>
            </c:strRef>
          </c:cat>
          <c:val>
            <c:numRef>
              <c:f>ferment!$F$31:$F$32</c:f>
              <c:numCache>
                <c:formatCode>General</c:formatCode>
                <c:ptCount val="2"/>
                <c:pt idx="0">
                  <c:v>48.836999999999996</c:v>
                </c:pt>
                <c:pt idx="1">
                  <c:v>41.933</c:v>
                </c:pt>
              </c:numCache>
            </c:numRef>
          </c:val>
        </c:ser>
        <c:ser>
          <c:idx val="4"/>
          <c:order val="4"/>
          <c:tx>
            <c:strRef>
              <c:f>ferment!$G$30</c:f>
              <c:strCache>
                <c:ptCount val="1"/>
                <c:pt idx="0">
                  <c:v>5 (H. Proteine)</c:v>
                </c:pt>
              </c:strCache>
            </c:strRef>
          </c:tx>
          <c:spPr>
            <a:solidFill>
              <a:srgbClr val="FF33CC"/>
            </a:solidFill>
            <a:ln>
              <a:solidFill>
                <a:srgbClr val="FF33CC"/>
              </a:solidFill>
            </a:ln>
          </c:spPr>
          <c:errBars>
            <c:errBarType val="both"/>
            <c:errValType val="cust"/>
            <c:plus>
              <c:numRef>
                <c:f>ferment!$N$31:$N$32</c:f>
                <c:numCache>
                  <c:formatCode>General</c:formatCode>
                  <c:ptCount val="2"/>
                  <c:pt idx="0">
                    <c:v>0.52</c:v>
                  </c:pt>
                  <c:pt idx="1">
                    <c:v>1.1950000000000001</c:v>
                  </c:pt>
                </c:numCache>
              </c:numRef>
            </c:plus>
            <c:minus>
              <c:numRef>
                <c:f>ferment!$N$31:$N$32</c:f>
                <c:numCache>
                  <c:formatCode>General</c:formatCode>
                  <c:ptCount val="2"/>
                  <c:pt idx="0">
                    <c:v>0.52</c:v>
                  </c:pt>
                  <c:pt idx="1">
                    <c:v>1.1950000000000001</c:v>
                  </c:pt>
                </c:numCache>
              </c:numRef>
            </c:minus>
          </c:errBars>
          <c:cat>
            <c:strRef>
              <c:f>ferment!$B$31:$B$32</c:f>
              <c:strCache>
                <c:ptCount val="2"/>
                <c:pt idx="0">
                  <c:v>St+Lbb</c:v>
                </c:pt>
                <c:pt idx="1">
                  <c:v>St</c:v>
                </c:pt>
              </c:strCache>
            </c:strRef>
          </c:cat>
          <c:val>
            <c:numRef>
              <c:f>ferment!$G$31:$G$32</c:f>
              <c:numCache>
                <c:formatCode>General</c:formatCode>
                <c:ptCount val="2"/>
                <c:pt idx="0">
                  <c:v>49.525000000000013</c:v>
                </c:pt>
                <c:pt idx="1">
                  <c:v>72.2</c:v>
                </c:pt>
              </c:numCache>
            </c:numRef>
          </c:val>
        </c:ser>
        <c:axId val="81511936"/>
        <c:axId val="81513856"/>
      </c:barChart>
      <c:catAx>
        <c:axId val="81511936"/>
        <c:scaling>
          <c:orientation val="minMax"/>
        </c:scaling>
        <c:axPos val="b"/>
        <c:title>
          <c:tx>
            <c:rich>
              <a:bodyPr/>
              <a:lstStyle/>
              <a:p>
                <a:pPr>
                  <a:defRPr/>
                </a:pPr>
                <a:r>
                  <a:rPr lang="en-US">
                    <a:latin typeface="Times New Roman" pitchFamily="18" charset="0"/>
                    <a:cs typeface="Times New Roman" pitchFamily="18" charset="0"/>
                  </a:rPr>
                  <a:t>Les cultures des ferments lactiques</a:t>
                </a:r>
              </a:p>
            </c:rich>
          </c:tx>
          <c:layout/>
        </c:title>
        <c:numFmt formatCode="General" sourceLinked="1"/>
        <c:tickLblPos val="nextTo"/>
        <c:spPr>
          <a:ln>
            <a:solidFill>
              <a:sysClr val="windowText" lastClr="000000"/>
            </a:solidFill>
          </a:ln>
        </c:spPr>
        <c:txPr>
          <a:bodyPr/>
          <a:lstStyle/>
          <a:p>
            <a:pPr>
              <a:defRPr b="1"/>
            </a:pPr>
            <a:endParaRPr lang="fr-FR"/>
          </a:p>
        </c:txPr>
        <c:crossAx val="81513856"/>
        <c:crosses val="autoZero"/>
        <c:auto val="1"/>
        <c:lblAlgn val="ctr"/>
        <c:lblOffset val="100"/>
      </c:catAx>
      <c:valAx>
        <c:axId val="81513856"/>
        <c:scaling>
          <c:orientation val="minMax"/>
          <c:max val="80"/>
          <c:min val="20"/>
        </c:scaling>
        <c:axPos val="l"/>
        <c:title>
          <c:tx>
            <c:rich>
              <a:bodyPr rot="-5400000" vert="horz"/>
              <a:lstStyle/>
              <a:p>
                <a:pPr>
                  <a:defRPr/>
                </a:pPr>
                <a:r>
                  <a:rPr lang="en-US">
                    <a:latin typeface="Times New Roman" pitchFamily="18" charset="0"/>
                    <a:cs typeface="Times New Roman" pitchFamily="18" charset="0"/>
                  </a:rPr>
                  <a:t>Viscosité en mPa.s</a:t>
                </a:r>
              </a:p>
            </c:rich>
          </c:tx>
          <c:layout/>
        </c:title>
        <c:numFmt formatCode="General" sourceLinked="1"/>
        <c:tickLblPos val="nextTo"/>
        <c:spPr>
          <a:ln>
            <a:solidFill>
              <a:sysClr val="windowText" lastClr="000000"/>
            </a:solidFill>
          </a:ln>
        </c:spPr>
        <c:txPr>
          <a:bodyPr/>
          <a:lstStyle/>
          <a:p>
            <a:pPr>
              <a:defRPr b="1"/>
            </a:pPr>
            <a:endParaRPr lang="fr-FR"/>
          </a:p>
        </c:txPr>
        <c:crossAx val="81511936"/>
        <c:crosses val="autoZero"/>
        <c:crossBetween val="between"/>
        <c:majorUnit val="10"/>
      </c:valAx>
    </c:plotArea>
    <c:plotVisOnly val="1"/>
    <c:dispBlanksAs val="gap"/>
  </c:chart>
  <c:spPr>
    <a:ln>
      <a:solidFill>
        <a:schemeClr val="bg1"/>
      </a:solidFill>
    </a:ln>
  </c:spPr>
  <c:externalData r:id="rId1"/>
</c:chartSpace>
</file>

<file path=word/charts/chart73.xml><?xml version="1.0" encoding="utf-8"?>
<c:chartSpace xmlns:c="http://schemas.openxmlformats.org/drawingml/2006/chart" xmlns:a="http://schemas.openxmlformats.org/drawingml/2006/main" xmlns:r="http://schemas.openxmlformats.org/officeDocument/2006/relationships">
  <c:date1904 val="1"/>
  <c:lang val="fr-FR"/>
  <c:style val="26"/>
  <c:chart>
    <c:plotArea>
      <c:layout>
        <c:manualLayout>
          <c:layoutTarget val="inner"/>
          <c:xMode val="edge"/>
          <c:yMode val="edge"/>
          <c:x val="0.12116379247343512"/>
          <c:y val="3.1660283709672485E-2"/>
          <c:w val="0.84966622608928144"/>
          <c:h val="0.79391035264560805"/>
        </c:manualLayout>
      </c:layout>
      <c:barChart>
        <c:barDir val="col"/>
        <c:grouping val="clustered"/>
        <c:ser>
          <c:idx val="0"/>
          <c:order val="0"/>
          <c:tx>
            <c:strRef>
              <c:f>'ferment+probio'!$B$2</c:f>
              <c:strCache>
                <c:ptCount val="1"/>
                <c:pt idx="0">
                  <c:v>1 (Témoin)</c:v>
                </c:pt>
              </c:strCache>
            </c:strRef>
          </c:tx>
          <c:spPr>
            <a:solidFill>
              <a:srgbClr val="0070C0"/>
            </a:solidFill>
            <a:ln>
              <a:solidFill>
                <a:srgbClr val="0070C0"/>
              </a:solidFill>
            </a:ln>
          </c:spPr>
          <c:errBars>
            <c:errBarType val="both"/>
            <c:errValType val="cust"/>
            <c:plus>
              <c:numRef>
                <c:f>'ferment+probio'!$I$3:$I$7</c:f>
                <c:numCache>
                  <c:formatCode>General</c:formatCode>
                  <c:ptCount val="5"/>
                  <c:pt idx="0">
                    <c:v>2.9729999999999968</c:v>
                  </c:pt>
                  <c:pt idx="1">
                    <c:v>5.6899999999999995</c:v>
                  </c:pt>
                  <c:pt idx="2">
                    <c:v>3.0659999999999998</c:v>
                  </c:pt>
                  <c:pt idx="3">
                    <c:v>6.8929999999999945</c:v>
                  </c:pt>
                  <c:pt idx="4">
                    <c:v>1.173</c:v>
                  </c:pt>
                </c:numCache>
              </c:numRef>
            </c:plus>
            <c:minus>
              <c:numRef>
                <c:f>'ferment+probio'!$I$3:$I$7</c:f>
                <c:numCache>
                  <c:formatCode>General</c:formatCode>
                  <c:ptCount val="5"/>
                  <c:pt idx="0">
                    <c:v>2.9729999999999968</c:v>
                  </c:pt>
                  <c:pt idx="1">
                    <c:v>5.6899999999999995</c:v>
                  </c:pt>
                  <c:pt idx="2">
                    <c:v>3.0659999999999998</c:v>
                  </c:pt>
                  <c:pt idx="3">
                    <c:v>6.8929999999999945</c:v>
                  </c:pt>
                  <c:pt idx="4">
                    <c:v>1.173</c:v>
                  </c:pt>
                </c:numCache>
              </c:numRef>
            </c:minus>
          </c:errBars>
          <c:cat>
            <c:strRef>
              <c:f>'ferment+probio'!$A$3:$A$7</c:f>
              <c:strCache>
                <c:ptCount val="5"/>
                <c:pt idx="0">
                  <c:v>BLR</c:v>
                </c:pt>
                <c:pt idx="1">
                  <c:v>LbRE-LSAS</c:v>
                </c:pt>
                <c:pt idx="2">
                  <c:v>BB12</c:v>
                </c:pt>
                <c:pt idx="3">
                  <c:v>Lba CECT4529</c:v>
                </c:pt>
                <c:pt idx="4">
                  <c:v>Lbp CECT748</c:v>
                </c:pt>
              </c:strCache>
            </c:strRef>
          </c:cat>
          <c:val>
            <c:numRef>
              <c:f>'ferment+probio'!$B$3:$B$7</c:f>
              <c:numCache>
                <c:formatCode>General</c:formatCode>
                <c:ptCount val="5"/>
                <c:pt idx="0">
                  <c:v>104.31</c:v>
                </c:pt>
                <c:pt idx="1">
                  <c:v>320.81700000000001</c:v>
                </c:pt>
                <c:pt idx="2">
                  <c:v>104.98</c:v>
                </c:pt>
                <c:pt idx="3">
                  <c:v>242.667</c:v>
                </c:pt>
                <c:pt idx="4">
                  <c:v>142.85000000000036</c:v>
                </c:pt>
              </c:numCache>
            </c:numRef>
          </c:val>
        </c:ser>
        <c:ser>
          <c:idx val="1"/>
          <c:order val="1"/>
          <c:tx>
            <c:strRef>
              <c:f>'ferment+probio'!$C$2</c:f>
              <c:strCache>
                <c:ptCount val="1"/>
                <c:pt idx="0">
                  <c:v>2 (Lactoserum)</c:v>
                </c:pt>
              </c:strCache>
            </c:strRef>
          </c:tx>
          <c:spPr>
            <a:solidFill>
              <a:srgbClr val="FF9900"/>
            </a:solidFill>
            <a:ln>
              <a:solidFill>
                <a:srgbClr val="FF9900"/>
              </a:solidFill>
            </a:ln>
          </c:spPr>
          <c:errBars>
            <c:errBarType val="both"/>
            <c:errValType val="cust"/>
            <c:plus>
              <c:numRef>
                <c:f>'ferment+probio'!$J$3:$J$7</c:f>
                <c:numCache>
                  <c:formatCode>General</c:formatCode>
                  <c:ptCount val="5"/>
                  <c:pt idx="0">
                    <c:v>5.0309999999999997</c:v>
                  </c:pt>
                  <c:pt idx="1">
                    <c:v>9.1469999999999985</c:v>
                  </c:pt>
                  <c:pt idx="2">
                    <c:v>6.6719999999999997</c:v>
                  </c:pt>
                  <c:pt idx="3">
                    <c:v>6.7030000000000003</c:v>
                  </c:pt>
                  <c:pt idx="4">
                    <c:v>2.085</c:v>
                  </c:pt>
                </c:numCache>
              </c:numRef>
            </c:plus>
            <c:minus>
              <c:numRef>
                <c:f>'ferment+probio'!$J$3:$J$7</c:f>
                <c:numCache>
                  <c:formatCode>General</c:formatCode>
                  <c:ptCount val="5"/>
                  <c:pt idx="0">
                    <c:v>5.0309999999999997</c:v>
                  </c:pt>
                  <c:pt idx="1">
                    <c:v>9.1469999999999985</c:v>
                  </c:pt>
                  <c:pt idx="2">
                    <c:v>6.6719999999999997</c:v>
                  </c:pt>
                  <c:pt idx="3">
                    <c:v>6.7030000000000003</c:v>
                  </c:pt>
                  <c:pt idx="4">
                    <c:v>2.085</c:v>
                  </c:pt>
                </c:numCache>
              </c:numRef>
            </c:minus>
          </c:errBars>
          <c:cat>
            <c:strRef>
              <c:f>'ferment+probio'!$A$3:$A$7</c:f>
              <c:strCache>
                <c:ptCount val="5"/>
                <c:pt idx="0">
                  <c:v>BLR</c:v>
                </c:pt>
                <c:pt idx="1">
                  <c:v>LbRE-LSAS</c:v>
                </c:pt>
                <c:pt idx="2">
                  <c:v>BB12</c:v>
                </c:pt>
                <c:pt idx="3">
                  <c:v>Lba CECT4529</c:v>
                </c:pt>
                <c:pt idx="4">
                  <c:v>Lbp CECT748</c:v>
                </c:pt>
              </c:strCache>
            </c:strRef>
          </c:cat>
          <c:val>
            <c:numRef>
              <c:f>'ferment+probio'!$C$3:$C$7</c:f>
              <c:numCache>
                <c:formatCode>General</c:formatCode>
                <c:ptCount val="5"/>
                <c:pt idx="0">
                  <c:v>187.55</c:v>
                </c:pt>
                <c:pt idx="1">
                  <c:v>424.2</c:v>
                </c:pt>
                <c:pt idx="2">
                  <c:v>223.88300000000001</c:v>
                </c:pt>
                <c:pt idx="3">
                  <c:v>298.28299999999928</c:v>
                </c:pt>
                <c:pt idx="4">
                  <c:v>224.6</c:v>
                </c:pt>
              </c:numCache>
            </c:numRef>
          </c:val>
        </c:ser>
        <c:ser>
          <c:idx val="2"/>
          <c:order val="2"/>
          <c:tx>
            <c:strRef>
              <c:f>'ferment+probio'!$D$2</c:f>
              <c:strCache>
                <c:ptCount val="1"/>
                <c:pt idx="0">
                  <c:v>3 (Promilk)</c:v>
                </c:pt>
              </c:strCache>
            </c:strRef>
          </c:tx>
          <c:spPr>
            <a:solidFill>
              <a:srgbClr val="92D050"/>
            </a:solidFill>
            <a:ln>
              <a:solidFill>
                <a:srgbClr val="92D050"/>
              </a:solidFill>
            </a:ln>
          </c:spPr>
          <c:errBars>
            <c:errBarType val="both"/>
            <c:errValType val="cust"/>
            <c:plus>
              <c:numRef>
                <c:f>'ferment+probio'!$K$3:$K$7</c:f>
                <c:numCache>
                  <c:formatCode>General</c:formatCode>
                  <c:ptCount val="5"/>
                  <c:pt idx="0">
                    <c:v>1.8580000000000001</c:v>
                  </c:pt>
                  <c:pt idx="1">
                    <c:v>7.532</c:v>
                  </c:pt>
                  <c:pt idx="2">
                    <c:v>1.8759999999999968</c:v>
                  </c:pt>
                  <c:pt idx="3">
                    <c:v>7.8199999999999985</c:v>
                  </c:pt>
                  <c:pt idx="4">
                    <c:v>0.94699999999999995</c:v>
                  </c:pt>
                </c:numCache>
              </c:numRef>
            </c:plus>
            <c:minus>
              <c:numRef>
                <c:f>'ferment+probio'!$K$3:$K$7</c:f>
                <c:numCache>
                  <c:formatCode>General</c:formatCode>
                  <c:ptCount val="5"/>
                  <c:pt idx="0">
                    <c:v>1.8580000000000001</c:v>
                  </c:pt>
                  <c:pt idx="1">
                    <c:v>7.532</c:v>
                  </c:pt>
                  <c:pt idx="2">
                    <c:v>1.8759999999999968</c:v>
                  </c:pt>
                  <c:pt idx="3">
                    <c:v>7.8199999999999985</c:v>
                  </c:pt>
                  <c:pt idx="4">
                    <c:v>0.94699999999999995</c:v>
                  </c:pt>
                </c:numCache>
              </c:numRef>
            </c:minus>
          </c:errBars>
          <c:cat>
            <c:strRef>
              <c:f>'ferment+probio'!$A$3:$A$7</c:f>
              <c:strCache>
                <c:ptCount val="5"/>
                <c:pt idx="0">
                  <c:v>BLR</c:v>
                </c:pt>
                <c:pt idx="1">
                  <c:v>LbRE-LSAS</c:v>
                </c:pt>
                <c:pt idx="2">
                  <c:v>BB12</c:v>
                </c:pt>
                <c:pt idx="3">
                  <c:v>Lba CECT4529</c:v>
                </c:pt>
                <c:pt idx="4">
                  <c:v>Lbp CECT748</c:v>
                </c:pt>
              </c:strCache>
            </c:strRef>
          </c:cat>
          <c:val>
            <c:numRef>
              <c:f>'ferment+probio'!$D$3:$D$7</c:f>
              <c:numCache>
                <c:formatCode>General</c:formatCode>
                <c:ptCount val="5"/>
                <c:pt idx="0">
                  <c:v>129.44999999999999</c:v>
                </c:pt>
                <c:pt idx="1">
                  <c:v>272.06700000000001</c:v>
                </c:pt>
                <c:pt idx="2">
                  <c:v>104.75</c:v>
                </c:pt>
                <c:pt idx="3">
                  <c:v>217.71699999999998</c:v>
                </c:pt>
                <c:pt idx="4">
                  <c:v>169.98000000000027</c:v>
                </c:pt>
              </c:numCache>
            </c:numRef>
          </c:val>
        </c:ser>
        <c:ser>
          <c:idx val="3"/>
          <c:order val="3"/>
          <c:tx>
            <c:strRef>
              <c:f>'ferment+probio'!$E$2</c:f>
              <c:strCache>
                <c:ptCount val="1"/>
                <c:pt idx="0">
                  <c:v>4 (H. Caseine)</c:v>
                </c:pt>
              </c:strCache>
            </c:strRef>
          </c:tx>
          <c:spPr>
            <a:solidFill>
              <a:srgbClr val="990099"/>
            </a:solidFill>
            <a:ln>
              <a:solidFill>
                <a:srgbClr val="990099"/>
              </a:solidFill>
            </a:ln>
          </c:spPr>
          <c:errBars>
            <c:errBarType val="both"/>
            <c:errValType val="cust"/>
            <c:plus>
              <c:numRef>
                <c:f>'ferment+probio'!$L$3:$L$7</c:f>
                <c:numCache>
                  <c:formatCode>General</c:formatCode>
                  <c:ptCount val="5"/>
                  <c:pt idx="0">
                    <c:v>8.43</c:v>
                  </c:pt>
                  <c:pt idx="1">
                    <c:v>6.1519999999999975</c:v>
                  </c:pt>
                  <c:pt idx="2">
                    <c:v>4.6739999999999995</c:v>
                  </c:pt>
                  <c:pt idx="3">
                    <c:v>4.8339999999999996</c:v>
                  </c:pt>
                  <c:pt idx="4">
                    <c:v>1.4079999999999935</c:v>
                  </c:pt>
                </c:numCache>
              </c:numRef>
            </c:plus>
            <c:minus>
              <c:numRef>
                <c:f>'ferment+probio'!$L$3:$L$7</c:f>
                <c:numCache>
                  <c:formatCode>General</c:formatCode>
                  <c:ptCount val="5"/>
                  <c:pt idx="0">
                    <c:v>8.43</c:v>
                  </c:pt>
                  <c:pt idx="1">
                    <c:v>6.1519999999999975</c:v>
                  </c:pt>
                  <c:pt idx="2">
                    <c:v>4.6739999999999995</c:v>
                  </c:pt>
                  <c:pt idx="3">
                    <c:v>4.8339999999999996</c:v>
                  </c:pt>
                  <c:pt idx="4">
                    <c:v>1.4079999999999935</c:v>
                  </c:pt>
                </c:numCache>
              </c:numRef>
            </c:minus>
          </c:errBars>
          <c:cat>
            <c:strRef>
              <c:f>'ferment+probio'!$A$3:$A$7</c:f>
              <c:strCache>
                <c:ptCount val="5"/>
                <c:pt idx="0">
                  <c:v>BLR</c:v>
                </c:pt>
                <c:pt idx="1">
                  <c:v>LbRE-LSAS</c:v>
                </c:pt>
                <c:pt idx="2">
                  <c:v>BB12</c:v>
                </c:pt>
                <c:pt idx="3">
                  <c:v>Lba CECT4529</c:v>
                </c:pt>
                <c:pt idx="4">
                  <c:v>Lbp CECT748</c:v>
                </c:pt>
              </c:strCache>
            </c:strRef>
          </c:cat>
          <c:val>
            <c:numRef>
              <c:f>'ferment+probio'!$E$3:$E$7</c:f>
              <c:numCache>
                <c:formatCode>General</c:formatCode>
                <c:ptCount val="5"/>
                <c:pt idx="0">
                  <c:v>146.13</c:v>
                </c:pt>
                <c:pt idx="1">
                  <c:v>358.88299999999964</c:v>
                </c:pt>
                <c:pt idx="2">
                  <c:v>154.91</c:v>
                </c:pt>
                <c:pt idx="3">
                  <c:v>271.63299999999964</c:v>
                </c:pt>
                <c:pt idx="4">
                  <c:v>179.38000000000036</c:v>
                </c:pt>
              </c:numCache>
            </c:numRef>
          </c:val>
        </c:ser>
        <c:ser>
          <c:idx val="4"/>
          <c:order val="4"/>
          <c:tx>
            <c:strRef>
              <c:f>'ferment+probio'!$F$2</c:f>
              <c:strCache>
                <c:ptCount val="1"/>
                <c:pt idx="0">
                  <c:v>5 (H. Proteine)</c:v>
                </c:pt>
              </c:strCache>
            </c:strRef>
          </c:tx>
          <c:spPr>
            <a:solidFill>
              <a:srgbClr val="FF33CC"/>
            </a:solidFill>
            <a:ln>
              <a:solidFill>
                <a:srgbClr val="FF33CC"/>
              </a:solidFill>
            </a:ln>
          </c:spPr>
          <c:errBars>
            <c:errBarType val="both"/>
            <c:errValType val="cust"/>
            <c:plus>
              <c:numRef>
                <c:f>'ferment+probio'!$M$3:$M$7</c:f>
                <c:numCache>
                  <c:formatCode>General</c:formatCode>
                  <c:ptCount val="5"/>
                  <c:pt idx="0">
                    <c:v>6.2759999999999998</c:v>
                  </c:pt>
                  <c:pt idx="1">
                    <c:v>8.3330000000000002</c:v>
                  </c:pt>
                  <c:pt idx="2">
                    <c:v>4.2789999999999999</c:v>
                  </c:pt>
                  <c:pt idx="3">
                    <c:v>4.6919999999999975</c:v>
                  </c:pt>
                  <c:pt idx="4">
                    <c:v>4.8929999999999945</c:v>
                  </c:pt>
                </c:numCache>
              </c:numRef>
            </c:plus>
            <c:minus>
              <c:numRef>
                <c:f>'ferment+probio'!$M$3:$M$7</c:f>
                <c:numCache>
                  <c:formatCode>General</c:formatCode>
                  <c:ptCount val="5"/>
                  <c:pt idx="0">
                    <c:v>6.2759999999999998</c:v>
                  </c:pt>
                  <c:pt idx="1">
                    <c:v>8.3330000000000002</c:v>
                  </c:pt>
                  <c:pt idx="2">
                    <c:v>4.2789999999999999</c:v>
                  </c:pt>
                  <c:pt idx="3">
                    <c:v>4.6919999999999975</c:v>
                  </c:pt>
                  <c:pt idx="4">
                    <c:v>4.8929999999999945</c:v>
                  </c:pt>
                </c:numCache>
              </c:numRef>
            </c:minus>
          </c:errBars>
          <c:cat>
            <c:strRef>
              <c:f>'ferment+probio'!$A$3:$A$7</c:f>
              <c:strCache>
                <c:ptCount val="5"/>
                <c:pt idx="0">
                  <c:v>BLR</c:v>
                </c:pt>
                <c:pt idx="1">
                  <c:v>LbRE-LSAS</c:v>
                </c:pt>
                <c:pt idx="2">
                  <c:v>BB12</c:v>
                </c:pt>
                <c:pt idx="3">
                  <c:v>Lba CECT4529</c:v>
                </c:pt>
                <c:pt idx="4">
                  <c:v>Lbp CECT748</c:v>
                </c:pt>
              </c:strCache>
            </c:strRef>
          </c:cat>
          <c:val>
            <c:numRef>
              <c:f>'ferment+probio'!$F$3:$F$7</c:f>
              <c:numCache>
                <c:formatCode>General</c:formatCode>
                <c:ptCount val="5"/>
                <c:pt idx="0">
                  <c:v>157.88300000000001</c:v>
                </c:pt>
                <c:pt idx="1">
                  <c:v>533.63300000000004</c:v>
                </c:pt>
                <c:pt idx="2">
                  <c:v>178.8</c:v>
                </c:pt>
                <c:pt idx="3">
                  <c:v>359.98299999999915</c:v>
                </c:pt>
                <c:pt idx="4">
                  <c:v>221.01</c:v>
                </c:pt>
              </c:numCache>
            </c:numRef>
          </c:val>
        </c:ser>
        <c:axId val="137461760"/>
        <c:axId val="137463680"/>
      </c:barChart>
      <c:catAx>
        <c:axId val="137461760"/>
        <c:scaling>
          <c:orientation val="minMax"/>
        </c:scaling>
        <c:axPos val="b"/>
        <c:title>
          <c:tx>
            <c:rich>
              <a:bodyPr/>
              <a:lstStyle/>
              <a:p>
                <a:pPr>
                  <a:defRPr/>
                </a:pPr>
                <a:r>
                  <a:rPr lang="fr-FR">
                    <a:latin typeface="Times New Roman" pitchFamily="18" charset="0"/>
                    <a:cs typeface="Times New Roman" pitchFamily="18" charset="0"/>
                  </a:rPr>
                  <a:t>Les souches bénéfiques</a:t>
                </a:r>
              </a:p>
            </c:rich>
          </c:tx>
          <c:layout/>
        </c:title>
        <c:numFmt formatCode="General" sourceLinked="1"/>
        <c:tickLblPos val="nextTo"/>
        <c:spPr>
          <a:ln>
            <a:solidFill>
              <a:sysClr val="windowText" lastClr="000000"/>
            </a:solidFill>
          </a:ln>
        </c:spPr>
        <c:txPr>
          <a:bodyPr/>
          <a:lstStyle/>
          <a:p>
            <a:pPr>
              <a:defRPr b="1"/>
            </a:pPr>
            <a:endParaRPr lang="fr-FR"/>
          </a:p>
        </c:txPr>
        <c:crossAx val="137463680"/>
        <c:crosses val="autoZero"/>
        <c:auto val="1"/>
        <c:lblAlgn val="ctr"/>
        <c:lblOffset val="100"/>
      </c:catAx>
      <c:valAx>
        <c:axId val="137463680"/>
        <c:scaling>
          <c:orientation val="minMax"/>
          <c:max val="600"/>
          <c:min val="0"/>
        </c:scaling>
        <c:axPos val="l"/>
        <c:title>
          <c:tx>
            <c:rich>
              <a:bodyPr/>
              <a:lstStyle/>
              <a:p>
                <a:pPr>
                  <a:defRPr/>
                </a:pPr>
                <a:r>
                  <a:rPr lang="en-US">
                    <a:latin typeface="Times New Roman" pitchFamily="18" charset="0"/>
                    <a:cs typeface="Times New Roman" pitchFamily="18" charset="0"/>
                  </a:rPr>
                  <a:t>EPS</a:t>
                </a:r>
                <a:r>
                  <a:rPr lang="en-US"/>
                  <a:t> </a:t>
                </a:r>
                <a:r>
                  <a:rPr lang="en-US">
                    <a:latin typeface="Times New Roman" pitchFamily="18" charset="0"/>
                    <a:cs typeface="Times New Roman" pitchFamily="18" charset="0"/>
                  </a:rPr>
                  <a:t>en</a:t>
                </a:r>
                <a:r>
                  <a:rPr lang="en-US"/>
                  <a:t> </a:t>
                </a:r>
                <a:r>
                  <a:rPr lang="en-US">
                    <a:latin typeface="Times New Roman" pitchFamily="18" charset="0"/>
                    <a:cs typeface="Times New Roman" pitchFamily="18" charset="0"/>
                  </a:rPr>
                  <a:t>mg/l</a:t>
                </a:r>
              </a:p>
            </c:rich>
          </c:tx>
          <c:layout/>
        </c:title>
        <c:numFmt formatCode="General" sourceLinked="1"/>
        <c:tickLblPos val="nextTo"/>
        <c:spPr>
          <a:ln>
            <a:solidFill>
              <a:sysClr val="windowText" lastClr="000000"/>
            </a:solidFill>
          </a:ln>
        </c:spPr>
        <c:txPr>
          <a:bodyPr/>
          <a:lstStyle/>
          <a:p>
            <a:pPr>
              <a:defRPr b="1"/>
            </a:pPr>
            <a:endParaRPr lang="fr-FR"/>
          </a:p>
        </c:txPr>
        <c:crossAx val="137461760"/>
        <c:crosses val="autoZero"/>
        <c:crossBetween val="between"/>
        <c:majorUnit val="100"/>
      </c:valAx>
    </c:plotArea>
    <c:plotVisOnly val="1"/>
    <c:dispBlanksAs val="gap"/>
  </c:chart>
  <c:spPr>
    <a:ln>
      <a:solidFill>
        <a:schemeClr val="bg1"/>
      </a:solidFill>
    </a:ln>
  </c:spPr>
  <c:externalData r:id="rId1"/>
</c:chartSpace>
</file>

<file path=word/charts/chart74.xml><?xml version="1.0" encoding="utf-8"?>
<c:chartSpace xmlns:c="http://schemas.openxmlformats.org/drawingml/2006/chart" xmlns:a="http://schemas.openxmlformats.org/drawingml/2006/main" xmlns:r="http://schemas.openxmlformats.org/officeDocument/2006/relationships">
  <c:date1904 val="1"/>
  <c:lang val="fr-FR"/>
  <c:style val="26"/>
  <c:chart>
    <c:plotArea>
      <c:layout>
        <c:manualLayout>
          <c:layoutTarget val="inner"/>
          <c:xMode val="edge"/>
          <c:yMode val="edge"/>
          <c:x val="0.14626126455555291"/>
          <c:y val="3.9172483102674453E-2"/>
          <c:w val="0.82535896248263052"/>
          <c:h val="0.78203963234160578"/>
        </c:manualLayout>
      </c:layout>
      <c:barChart>
        <c:barDir val="col"/>
        <c:grouping val="clustered"/>
        <c:ser>
          <c:idx val="0"/>
          <c:order val="0"/>
          <c:tx>
            <c:strRef>
              <c:f>'ferment+probio'!$B$57</c:f>
              <c:strCache>
                <c:ptCount val="1"/>
                <c:pt idx="0">
                  <c:v>1 (Témoin)</c:v>
                </c:pt>
              </c:strCache>
            </c:strRef>
          </c:tx>
          <c:spPr>
            <a:solidFill>
              <a:srgbClr val="0070C0"/>
            </a:solidFill>
            <a:ln>
              <a:solidFill>
                <a:srgbClr val="0070C0"/>
              </a:solidFill>
            </a:ln>
          </c:spPr>
          <c:errBars>
            <c:errBarType val="both"/>
            <c:errValType val="cust"/>
            <c:plus>
              <c:numRef>
                <c:f>'stp+probio'!$I$30:$I$34</c:f>
                <c:numCache>
                  <c:formatCode>General</c:formatCode>
                  <c:ptCount val="5"/>
                  <c:pt idx="0">
                    <c:v>1.214</c:v>
                  </c:pt>
                  <c:pt idx="1">
                    <c:v>1.2669999999999968</c:v>
                  </c:pt>
                  <c:pt idx="2">
                    <c:v>1.073</c:v>
                  </c:pt>
                  <c:pt idx="3">
                    <c:v>1.298</c:v>
                  </c:pt>
                  <c:pt idx="4">
                    <c:v>0.88</c:v>
                  </c:pt>
                </c:numCache>
              </c:numRef>
            </c:plus>
            <c:minus>
              <c:numRef>
                <c:f>'stp+probio'!$I$30:$I$34</c:f>
                <c:numCache>
                  <c:formatCode>General</c:formatCode>
                  <c:ptCount val="5"/>
                  <c:pt idx="0">
                    <c:v>1.214</c:v>
                  </c:pt>
                  <c:pt idx="1">
                    <c:v>1.2669999999999968</c:v>
                  </c:pt>
                  <c:pt idx="2">
                    <c:v>1.073</c:v>
                  </c:pt>
                  <c:pt idx="3">
                    <c:v>1.298</c:v>
                  </c:pt>
                  <c:pt idx="4">
                    <c:v>0.88</c:v>
                  </c:pt>
                </c:numCache>
              </c:numRef>
            </c:minus>
          </c:errBars>
          <c:cat>
            <c:strRef>
              <c:f>'ferment+probio'!$A$58:$A$62</c:f>
              <c:strCache>
                <c:ptCount val="5"/>
                <c:pt idx="0">
                  <c:v>BLR</c:v>
                </c:pt>
                <c:pt idx="1">
                  <c:v>LbRE-LSAS</c:v>
                </c:pt>
                <c:pt idx="2">
                  <c:v>BB12</c:v>
                </c:pt>
                <c:pt idx="3">
                  <c:v>Lba CECT4529</c:v>
                </c:pt>
                <c:pt idx="4">
                  <c:v>Lbp CECT748</c:v>
                </c:pt>
              </c:strCache>
            </c:strRef>
          </c:cat>
          <c:val>
            <c:numRef>
              <c:f>'ferment+probio'!$B$58:$B$62</c:f>
              <c:numCache>
                <c:formatCode>General</c:formatCode>
                <c:ptCount val="5"/>
                <c:pt idx="0">
                  <c:v>27.367000000000001</c:v>
                </c:pt>
                <c:pt idx="1">
                  <c:v>39.232000000000063</c:v>
                </c:pt>
                <c:pt idx="2">
                  <c:v>31.667000000000005</c:v>
                </c:pt>
                <c:pt idx="3">
                  <c:v>44.152000000000001</c:v>
                </c:pt>
                <c:pt idx="4">
                  <c:v>41.867000000000004</c:v>
                </c:pt>
              </c:numCache>
            </c:numRef>
          </c:val>
        </c:ser>
        <c:ser>
          <c:idx val="1"/>
          <c:order val="1"/>
          <c:tx>
            <c:strRef>
              <c:f>'ferment+probio'!$C$57</c:f>
              <c:strCache>
                <c:ptCount val="1"/>
                <c:pt idx="0">
                  <c:v>2 (Lactoserum)</c:v>
                </c:pt>
              </c:strCache>
            </c:strRef>
          </c:tx>
          <c:spPr>
            <a:solidFill>
              <a:srgbClr val="FF9900"/>
            </a:solidFill>
            <a:ln>
              <a:solidFill>
                <a:srgbClr val="FF9900"/>
              </a:solidFill>
            </a:ln>
          </c:spPr>
          <c:errBars>
            <c:errBarType val="both"/>
            <c:errValType val="cust"/>
            <c:plus>
              <c:numRef>
                <c:f>'stp+probio'!$J$30:$J$34</c:f>
                <c:numCache>
                  <c:formatCode>General</c:formatCode>
                  <c:ptCount val="5"/>
                  <c:pt idx="0">
                    <c:v>1.3440000000000001</c:v>
                  </c:pt>
                  <c:pt idx="1">
                    <c:v>5.3659999999999872</c:v>
                  </c:pt>
                  <c:pt idx="2">
                    <c:v>0.86400000000000143</c:v>
                  </c:pt>
                  <c:pt idx="3">
                    <c:v>2.14</c:v>
                  </c:pt>
                  <c:pt idx="4">
                    <c:v>1.25</c:v>
                  </c:pt>
                </c:numCache>
              </c:numRef>
            </c:plus>
            <c:minus>
              <c:numRef>
                <c:f>'stp+probio'!$J$30:$J$34</c:f>
                <c:numCache>
                  <c:formatCode>General</c:formatCode>
                  <c:ptCount val="5"/>
                  <c:pt idx="0">
                    <c:v>1.3440000000000001</c:v>
                  </c:pt>
                  <c:pt idx="1">
                    <c:v>5.3659999999999872</c:v>
                  </c:pt>
                  <c:pt idx="2">
                    <c:v>0.86400000000000143</c:v>
                  </c:pt>
                  <c:pt idx="3">
                    <c:v>2.14</c:v>
                  </c:pt>
                  <c:pt idx="4">
                    <c:v>1.25</c:v>
                  </c:pt>
                </c:numCache>
              </c:numRef>
            </c:minus>
          </c:errBars>
          <c:cat>
            <c:strRef>
              <c:f>'ferment+probio'!$A$58:$A$62</c:f>
              <c:strCache>
                <c:ptCount val="5"/>
                <c:pt idx="0">
                  <c:v>BLR</c:v>
                </c:pt>
                <c:pt idx="1">
                  <c:v>LbRE-LSAS</c:v>
                </c:pt>
                <c:pt idx="2">
                  <c:v>BB12</c:v>
                </c:pt>
                <c:pt idx="3">
                  <c:v>Lba CECT4529</c:v>
                </c:pt>
                <c:pt idx="4">
                  <c:v>Lbp CECT748</c:v>
                </c:pt>
              </c:strCache>
            </c:strRef>
          </c:cat>
          <c:val>
            <c:numRef>
              <c:f>'ferment+probio'!$C$58:$C$62</c:f>
              <c:numCache>
                <c:formatCode>General</c:formatCode>
                <c:ptCount val="5"/>
                <c:pt idx="0">
                  <c:v>80.55</c:v>
                </c:pt>
                <c:pt idx="1">
                  <c:v>116.96700000000018</c:v>
                </c:pt>
                <c:pt idx="2">
                  <c:v>96.367000000000004</c:v>
                </c:pt>
                <c:pt idx="3">
                  <c:v>111.81699999999999</c:v>
                </c:pt>
                <c:pt idx="4">
                  <c:v>92.266999999999996</c:v>
                </c:pt>
              </c:numCache>
            </c:numRef>
          </c:val>
        </c:ser>
        <c:ser>
          <c:idx val="2"/>
          <c:order val="2"/>
          <c:tx>
            <c:strRef>
              <c:f>'ferment+probio'!$D$57</c:f>
              <c:strCache>
                <c:ptCount val="1"/>
                <c:pt idx="0">
                  <c:v>3 (Promilk)</c:v>
                </c:pt>
              </c:strCache>
            </c:strRef>
          </c:tx>
          <c:spPr>
            <a:solidFill>
              <a:srgbClr val="92D050"/>
            </a:solidFill>
            <a:ln>
              <a:solidFill>
                <a:srgbClr val="92D050"/>
              </a:solidFill>
            </a:ln>
          </c:spPr>
          <c:errBars>
            <c:errBarType val="both"/>
            <c:errValType val="cust"/>
            <c:plus>
              <c:numRef>
                <c:f>'stp+probio'!$K$30:$K$34</c:f>
                <c:numCache>
                  <c:formatCode>General</c:formatCode>
                  <c:ptCount val="5"/>
                  <c:pt idx="0">
                    <c:v>1.2109999999999967</c:v>
                  </c:pt>
                  <c:pt idx="1">
                    <c:v>0.95800000000000063</c:v>
                  </c:pt>
                  <c:pt idx="2">
                    <c:v>0.98199999999999998</c:v>
                  </c:pt>
                  <c:pt idx="3">
                    <c:v>0.68700000000000061</c:v>
                  </c:pt>
                  <c:pt idx="4">
                    <c:v>1.1020000000000001</c:v>
                  </c:pt>
                </c:numCache>
              </c:numRef>
            </c:plus>
            <c:minus>
              <c:numRef>
                <c:f>'stp+probio'!$K$30:$K$34</c:f>
                <c:numCache>
                  <c:formatCode>General</c:formatCode>
                  <c:ptCount val="5"/>
                  <c:pt idx="0">
                    <c:v>1.2109999999999967</c:v>
                  </c:pt>
                  <c:pt idx="1">
                    <c:v>0.95800000000000063</c:v>
                  </c:pt>
                  <c:pt idx="2">
                    <c:v>0.98199999999999998</c:v>
                  </c:pt>
                  <c:pt idx="3">
                    <c:v>0.68700000000000061</c:v>
                  </c:pt>
                  <c:pt idx="4">
                    <c:v>1.1020000000000001</c:v>
                  </c:pt>
                </c:numCache>
              </c:numRef>
            </c:minus>
          </c:errBars>
          <c:cat>
            <c:strRef>
              <c:f>'ferment+probio'!$A$58:$A$62</c:f>
              <c:strCache>
                <c:ptCount val="5"/>
                <c:pt idx="0">
                  <c:v>BLR</c:v>
                </c:pt>
                <c:pt idx="1">
                  <c:v>LbRE-LSAS</c:v>
                </c:pt>
                <c:pt idx="2">
                  <c:v>BB12</c:v>
                </c:pt>
                <c:pt idx="3">
                  <c:v>Lba CECT4529</c:v>
                </c:pt>
                <c:pt idx="4">
                  <c:v>Lbp CECT748</c:v>
                </c:pt>
              </c:strCache>
            </c:strRef>
          </c:cat>
          <c:val>
            <c:numRef>
              <c:f>'ferment+probio'!$D$58:$D$62</c:f>
              <c:numCache>
                <c:formatCode>General</c:formatCode>
                <c:ptCount val="5"/>
                <c:pt idx="0">
                  <c:v>41.633000000000003</c:v>
                </c:pt>
                <c:pt idx="1">
                  <c:v>40.783000000000001</c:v>
                </c:pt>
                <c:pt idx="2">
                  <c:v>60.3</c:v>
                </c:pt>
                <c:pt idx="3">
                  <c:v>48.682000000000002</c:v>
                </c:pt>
                <c:pt idx="4">
                  <c:v>49.283000000000001</c:v>
                </c:pt>
              </c:numCache>
            </c:numRef>
          </c:val>
        </c:ser>
        <c:ser>
          <c:idx val="3"/>
          <c:order val="3"/>
          <c:tx>
            <c:strRef>
              <c:f>'ferment+probio'!$E$57</c:f>
              <c:strCache>
                <c:ptCount val="1"/>
                <c:pt idx="0">
                  <c:v>4 (H. Caseine)</c:v>
                </c:pt>
              </c:strCache>
            </c:strRef>
          </c:tx>
          <c:spPr>
            <a:solidFill>
              <a:srgbClr val="990099"/>
            </a:solidFill>
            <a:ln>
              <a:solidFill>
                <a:srgbClr val="990099"/>
              </a:solidFill>
            </a:ln>
          </c:spPr>
          <c:errBars>
            <c:errBarType val="both"/>
            <c:errValType val="cust"/>
            <c:plus>
              <c:numRef>
                <c:f>'stp+probio'!$L$30:$L$34</c:f>
                <c:numCache>
                  <c:formatCode>General</c:formatCode>
                  <c:ptCount val="5"/>
                  <c:pt idx="0">
                    <c:v>0.99099999999999999</c:v>
                  </c:pt>
                  <c:pt idx="1">
                    <c:v>0.88500000000000001</c:v>
                  </c:pt>
                  <c:pt idx="2">
                    <c:v>0.93500000000000005</c:v>
                  </c:pt>
                  <c:pt idx="3">
                    <c:v>0.97200000000000064</c:v>
                  </c:pt>
                  <c:pt idx="4">
                    <c:v>1.5129999999999968</c:v>
                  </c:pt>
                </c:numCache>
              </c:numRef>
            </c:plus>
            <c:minus>
              <c:numRef>
                <c:f>'stp+probio'!$L$30:$L$34</c:f>
                <c:numCache>
                  <c:formatCode>General</c:formatCode>
                  <c:ptCount val="5"/>
                  <c:pt idx="0">
                    <c:v>0.99099999999999999</c:v>
                  </c:pt>
                  <c:pt idx="1">
                    <c:v>0.88500000000000001</c:v>
                  </c:pt>
                  <c:pt idx="2">
                    <c:v>0.93500000000000005</c:v>
                  </c:pt>
                  <c:pt idx="3">
                    <c:v>0.97200000000000064</c:v>
                  </c:pt>
                  <c:pt idx="4">
                    <c:v>1.5129999999999968</c:v>
                  </c:pt>
                </c:numCache>
              </c:numRef>
            </c:minus>
          </c:errBars>
          <c:cat>
            <c:strRef>
              <c:f>'ferment+probio'!$A$58:$A$62</c:f>
              <c:strCache>
                <c:ptCount val="5"/>
                <c:pt idx="0">
                  <c:v>BLR</c:v>
                </c:pt>
                <c:pt idx="1">
                  <c:v>LbRE-LSAS</c:v>
                </c:pt>
                <c:pt idx="2">
                  <c:v>BB12</c:v>
                </c:pt>
                <c:pt idx="3">
                  <c:v>Lba CECT4529</c:v>
                </c:pt>
                <c:pt idx="4">
                  <c:v>Lbp CECT748</c:v>
                </c:pt>
              </c:strCache>
            </c:strRef>
          </c:cat>
          <c:val>
            <c:numRef>
              <c:f>'ferment+probio'!$E$58:$E$62</c:f>
              <c:numCache>
                <c:formatCode>General</c:formatCode>
                <c:ptCount val="5"/>
                <c:pt idx="0">
                  <c:v>56.783000000000001</c:v>
                </c:pt>
                <c:pt idx="1">
                  <c:v>63.382999999999996</c:v>
                </c:pt>
                <c:pt idx="2">
                  <c:v>83.433000000000007</c:v>
                </c:pt>
                <c:pt idx="3">
                  <c:v>75.382999999999981</c:v>
                </c:pt>
                <c:pt idx="4">
                  <c:v>60.783000000000001</c:v>
                </c:pt>
              </c:numCache>
            </c:numRef>
          </c:val>
        </c:ser>
        <c:ser>
          <c:idx val="4"/>
          <c:order val="4"/>
          <c:tx>
            <c:strRef>
              <c:f>'ferment+probio'!$F$57</c:f>
              <c:strCache>
                <c:ptCount val="1"/>
                <c:pt idx="0">
                  <c:v>5 (H. Proteine)</c:v>
                </c:pt>
              </c:strCache>
            </c:strRef>
          </c:tx>
          <c:spPr>
            <a:solidFill>
              <a:srgbClr val="FF33CC"/>
            </a:solidFill>
            <a:ln>
              <a:solidFill>
                <a:srgbClr val="FF33CC"/>
              </a:solidFill>
            </a:ln>
          </c:spPr>
          <c:errBars>
            <c:errBarType val="both"/>
            <c:errValType val="cust"/>
            <c:plus>
              <c:numRef>
                <c:f>'stp+probio'!$M$30:$M$34</c:f>
                <c:numCache>
                  <c:formatCode>General</c:formatCode>
                  <c:ptCount val="5"/>
                  <c:pt idx="0">
                    <c:v>1.1200000000000001</c:v>
                  </c:pt>
                  <c:pt idx="1">
                    <c:v>1.4389999999999961</c:v>
                  </c:pt>
                  <c:pt idx="2">
                    <c:v>1.1140000000000001</c:v>
                  </c:pt>
                  <c:pt idx="3">
                    <c:v>1.3109999999999971</c:v>
                  </c:pt>
                  <c:pt idx="4">
                    <c:v>1.071</c:v>
                  </c:pt>
                </c:numCache>
              </c:numRef>
            </c:plus>
            <c:minus>
              <c:numRef>
                <c:f>'stp+probio'!$M$30:$M$34</c:f>
                <c:numCache>
                  <c:formatCode>General</c:formatCode>
                  <c:ptCount val="5"/>
                  <c:pt idx="0">
                    <c:v>1.1200000000000001</c:v>
                  </c:pt>
                  <c:pt idx="1">
                    <c:v>1.4389999999999961</c:v>
                  </c:pt>
                  <c:pt idx="2">
                    <c:v>1.1140000000000001</c:v>
                  </c:pt>
                  <c:pt idx="3">
                    <c:v>1.3109999999999971</c:v>
                  </c:pt>
                  <c:pt idx="4">
                    <c:v>1.071</c:v>
                  </c:pt>
                </c:numCache>
              </c:numRef>
            </c:minus>
          </c:errBars>
          <c:cat>
            <c:strRef>
              <c:f>'ferment+probio'!$A$58:$A$62</c:f>
              <c:strCache>
                <c:ptCount val="5"/>
                <c:pt idx="0">
                  <c:v>BLR</c:v>
                </c:pt>
                <c:pt idx="1">
                  <c:v>LbRE-LSAS</c:v>
                </c:pt>
                <c:pt idx="2">
                  <c:v>BB12</c:v>
                </c:pt>
                <c:pt idx="3">
                  <c:v>Lba CECT4529</c:v>
                </c:pt>
                <c:pt idx="4">
                  <c:v>Lbp CECT748</c:v>
                </c:pt>
              </c:strCache>
            </c:strRef>
          </c:cat>
          <c:val>
            <c:numRef>
              <c:f>'ferment+probio'!$F$58:$F$62</c:f>
              <c:numCache>
                <c:formatCode>General</c:formatCode>
                <c:ptCount val="5"/>
                <c:pt idx="0">
                  <c:v>76.05</c:v>
                </c:pt>
                <c:pt idx="1">
                  <c:v>140.15</c:v>
                </c:pt>
                <c:pt idx="2">
                  <c:v>98.1</c:v>
                </c:pt>
                <c:pt idx="3">
                  <c:v>124.43300000000002</c:v>
                </c:pt>
                <c:pt idx="4">
                  <c:v>87</c:v>
                </c:pt>
              </c:numCache>
            </c:numRef>
          </c:val>
        </c:ser>
        <c:axId val="137500928"/>
        <c:axId val="137523584"/>
      </c:barChart>
      <c:catAx>
        <c:axId val="137500928"/>
        <c:scaling>
          <c:orientation val="minMax"/>
        </c:scaling>
        <c:axPos val="b"/>
        <c:title>
          <c:tx>
            <c:rich>
              <a:bodyPr/>
              <a:lstStyle/>
              <a:p>
                <a:pPr>
                  <a:defRPr/>
                </a:pPr>
                <a:r>
                  <a:rPr lang="en-US">
                    <a:latin typeface="Times New Roman" pitchFamily="18" charset="0"/>
                    <a:cs typeface="Times New Roman" pitchFamily="18" charset="0"/>
                  </a:rPr>
                  <a:t>Les souches bénéfiques</a:t>
                </a:r>
              </a:p>
            </c:rich>
          </c:tx>
          <c:layout/>
        </c:title>
        <c:numFmt formatCode="General" sourceLinked="1"/>
        <c:tickLblPos val="nextTo"/>
        <c:spPr>
          <a:ln>
            <a:solidFill>
              <a:sysClr val="windowText" lastClr="000000"/>
            </a:solidFill>
          </a:ln>
        </c:spPr>
        <c:txPr>
          <a:bodyPr/>
          <a:lstStyle/>
          <a:p>
            <a:pPr>
              <a:defRPr b="1"/>
            </a:pPr>
            <a:endParaRPr lang="fr-FR"/>
          </a:p>
        </c:txPr>
        <c:crossAx val="137523584"/>
        <c:crosses val="autoZero"/>
        <c:auto val="1"/>
        <c:lblAlgn val="ctr"/>
        <c:lblOffset val="100"/>
      </c:catAx>
      <c:valAx>
        <c:axId val="137523584"/>
        <c:scaling>
          <c:orientation val="minMax"/>
          <c:max val="150"/>
          <c:min val="20"/>
        </c:scaling>
        <c:axPos val="l"/>
        <c:title>
          <c:tx>
            <c:rich>
              <a:bodyPr rot="-5400000" vert="horz"/>
              <a:lstStyle/>
              <a:p>
                <a:pPr>
                  <a:defRPr/>
                </a:pPr>
                <a:r>
                  <a:rPr lang="en-US">
                    <a:latin typeface="Times New Roman" pitchFamily="18" charset="0"/>
                    <a:cs typeface="Times New Roman" pitchFamily="18" charset="0"/>
                  </a:rPr>
                  <a:t>Viscosité</a:t>
                </a:r>
                <a:r>
                  <a:rPr lang="en-US"/>
                  <a:t> </a:t>
                </a:r>
                <a:r>
                  <a:rPr lang="en-US">
                    <a:latin typeface="Times New Roman" pitchFamily="18" charset="0"/>
                    <a:cs typeface="Times New Roman" pitchFamily="18" charset="0"/>
                  </a:rPr>
                  <a:t>en</a:t>
                </a:r>
                <a:r>
                  <a:rPr lang="en-US"/>
                  <a:t> </a:t>
                </a:r>
                <a:r>
                  <a:rPr lang="en-US">
                    <a:latin typeface="Times New Roman" pitchFamily="18" charset="0"/>
                    <a:cs typeface="Times New Roman" pitchFamily="18" charset="0"/>
                  </a:rPr>
                  <a:t>mPa.s</a:t>
                </a:r>
              </a:p>
            </c:rich>
          </c:tx>
          <c:layout/>
        </c:title>
        <c:numFmt formatCode="General" sourceLinked="1"/>
        <c:tickLblPos val="nextTo"/>
        <c:spPr>
          <a:ln>
            <a:solidFill>
              <a:sysClr val="windowText" lastClr="000000"/>
            </a:solidFill>
          </a:ln>
        </c:spPr>
        <c:txPr>
          <a:bodyPr/>
          <a:lstStyle/>
          <a:p>
            <a:pPr>
              <a:defRPr b="1"/>
            </a:pPr>
            <a:endParaRPr lang="fr-FR"/>
          </a:p>
        </c:txPr>
        <c:crossAx val="137500928"/>
        <c:crosses val="autoZero"/>
        <c:crossBetween val="between"/>
        <c:majorUnit val="20"/>
      </c:valAx>
    </c:plotArea>
    <c:plotVisOnly val="1"/>
    <c:dispBlanksAs val="gap"/>
  </c:chart>
  <c:spPr>
    <a:ln>
      <a:solidFill>
        <a:schemeClr val="bg1"/>
      </a:solidFill>
    </a:ln>
  </c:spPr>
  <c:externalData r:id="rId1"/>
</c:chartSpace>
</file>

<file path=word/charts/chart75.xml><?xml version="1.0" encoding="utf-8"?>
<c:chartSpace xmlns:c="http://schemas.openxmlformats.org/drawingml/2006/chart" xmlns:a="http://schemas.openxmlformats.org/drawingml/2006/main" xmlns:r="http://schemas.openxmlformats.org/officeDocument/2006/relationships">
  <c:date1904 val="1"/>
  <c:lang val="fr-FR"/>
  <c:style val="26"/>
  <c:chart>
    <c:plotArea>
      <c:layout>
        <c:manualLayout>
          <c:layoutTarget val="inner"/>
          <c:xMode val="edge"/>
          <c:yMode val="edge"/>
          <c:x val="0.15548321822900629"/>
          <c:y val="4.8695261776488467E-2"/>
          <c:w val="0.84451678177099065"/>
          <c:h val="0.71584024036469363"/>
        </c:manualLayout>
      </c:layout>
      <c:barChart>
        <c:barDir val="col"/>
        <c:grouping val="clustered"/>
        <c:ser>
          <c:idx val="0"/>
          <c:order val="0"/>
          <c:tx>
            <c:strRef>
              <c:f>'ferment+probio'!$B$27</c:f>
              <c:strCache>
                <c:ptCount val="1"/>
                <c:pt idx="0">
                  <c:v>1 (Témoin)</c:v>
                </c:pt>
              </c:strCache>
            </c:strRef>
          </c:tx>
          <c:spPr>
            <a:solidFill>
              <a:srgbClr val="0070C0"/>
            </a:solidFill>
            <a:ln>
              <a:solidFill>
                <a:srgbClr val="0070C0"/>
              </a:solidFill>
            </a:ln>
          </c:spPr>
          <c:errBars>
            <c:errBarType val="both"/>
            <c:errValType val="cust"/>
            <c:plus>
              <c:numRef>
                <c:f>'ferment+probio'!$I$28:$I$32</c:f>
                <c:numCache>
                  <c:formatCode>General</c:formatCode>
                  <c:ptCount val="5"/>
                  <c:pt idx="0">
                    <c:v>0.85800000000000065</c:v>
                  </c:pt>
                  <c:pt idx="1">
                    <c:v>0.84500000000000064</c:v>
                  </c:pt>
                  <c:pt idx="2">
                    <c:v>0.55400000000000005</c:v>
                  </c:pt>
                  <c:pt idx="3">
                    <c:v>0.51400000000000001</c:v>
                  </c:pt>
                  <c:pt idx="4">
                    <c:v>0.73300000000000065</c:v>
                  </c:pt>
                </c:numCache>
              </c:numRef>
            </c:plus>
            <c:minus>
              <c:numRef>
                <c:f>'ferment+probio'!$I$28:$I$32</c:f>
                <c:numCache>
                  <c:formatCode>General</c:formatCode>
                  <c:ptCount val="5"/>
                  <c:pt idx="0">
                    <c:v>0.85800000000000065</c:v>
                  </c:pt>
                  <c:pt idx="1">
                    <c:v>0.84500000000000064</c:v>
                  </c:pt>
                  <c:pt idx="2">
                    <c:v>0.55400000000000005</c:v>
                  </c:pt>
                  <c:pt idx="3">
                    <c:v>0.51400000000000001</c:v>
                  </c:pt>
                  <c:pt idx="4">
                    <c:v>0.73300000000000065</c:v>
                  </c:pt>
                </c:numCache>
              </c:numRef>
            </c:minus>
          </c:errBars>
          <c:cat>
            <c:strRef>
              <c:f>'ferment+probio'!$A$28:$A$32</c:f>
              <c:strCache>
                <c:ptCount val="5"/>
                <c:pt idx="0">
                  <c:v>BLR</c:v>
                </c:pt>
                <c:pt idx="1">
                  <c:v>LbRE-LSAS</c:v>
                </c:pt>
                <c:pt idx="2">
                  <c:v>BB12</c:v>
                </c:pt>
                <c:pt idx="3">
                  <c:v>Lba CECT4529</c:v>
                </c:pt>
                <c:pt idx="4">
                  <c:v>Lbp CECT748</c:v>
                </c:pt>
              </c:strCache>
            </c:strRef>
          </c:cat>
          <c:val>
            <c:numRef>
              <c:f>'ferment+probio'!$B$28:$B$32</c:f>
              <c:numCache>
                <c:formatCode>General</c:formatCode>
                <c:ptCount val="5"/>
                <c:pt idx="0">
                  <c:v>48.183</c:v>
                </c:pt>
                <c:pt idx="1">
                  <c:v>21.513000000000005</c:v>
                </c:pt>
                <c:pt idx="2">
                  <c:v>58.715000000000003</c:v>
                </c:pt>
                <c:pt idx="3">
                  <c:v>25.774999999999999</c:v>
                </c:pt>
                <c:pt idx="4">
                  <c:v>53.735000000000063</c:v>
                </c:pt>
              </c:numCache>
            </c:numRef>
          </c:val>
        </c:ser>
        <c:ser>
          <c:idx val="1"/>
          <c:order val="1"/>
          <c:tx>
            <c:strRef>
              <c:f>'ferment+probio'!$C$27</c:f>
              <c:strCache>
                <c:ptCount val="1"/>
                <c:pt idx="0">
                  <c:v>2 (Lactoserum)</c:v>
                </c:pt>
              </c:strCache>
            </c:strRef>
          </c:tx>
          <c:spPr>
            <a:solidFill>
              <a:srgbClr val="FF9900"/>
            </a:solidFill>
          </c:spPr>
          <c:errBars>
            <c:errBarType val="both"/>
            <c:errValType val="cust"/>
            <c:plus>
              <c:numRef>
                <c:f>'ferment+probio'!$J$28:$J$32</c:f>
                <c:numCache>
                  <c:formatCode>General</c:formatCode>
                  <c:ptCount val="5"/>
                  <c:pt idx="0">
                    <c:v>0.70300000000000062</c:v>
                  </c:pt>
                  <c:pt idx="1">
                    <c:v>0.85600000000000065</c:v>
                  </c:pt>
                  <c:pt idx="2">
                    <c:v>0.90700000000000003</c:v>
                  </c:pt>
                  <c:pt idx="3">
                    <c:v>0.62400000000000144</c:v>
                  </c:pt>
                  <c:pt idx="4">
                    <c:v>0.64500000000000168</c:v>
                  </c:pt>
                </c:numCache>
              </c:numRef>
            </c:plus>
            <c:minus>
              <c:numRef>
                <c:f>'ferment+probio'!$J$28:$J$32</c:f>
                <c:numCache>
                  <c:formatCode>General</c:formatCode>
                  <c:ptCount val="5"/>
                  <c:pt idx="0">
                    <c:v>0.70300000000000062</c:v>
                  </c:pt>
                  <c:pt idx="1">
                    <c:v>0.85600000000000065</c:v>
                  </c:pt>
                  <c:pt idx="2">
                    <c:v>0.90700000000000003</c:v>
                  </c:pt>
                  <c:pt idx="3">
                    <c:v>0.62400000000000144</c:v>
                  </c:pt>
                  <c:pt idx="4">
                    <c:v>0.64500000000000168</c:v>
                  </c:pt>
                </c:numCache>
              </c:numRef>
            </c:minus>
          </c:errBars>
          <c:cat>
            <c:strRef>
              <c:f>'ferment+probio'!$A$28:$A$32</c:f>
              <c:strCache>
                <c:ptCount val="5"/>
                <c:pt idx="0">
                  <c:v>BLR</c:v>
                </c:pt>
                <c:pt idx="1">
                  <c:v>LbRE-LSAS</c:v>
                </c:pt>
                <c:pt idx="2">
                  <c:v>BB12</c:v>
                </c:pt>
                <c:pt idx="3">
                  <c:v>Lba CECT4529</c:v>
                </c:pt>
                <c:pt idx="4">
                  <c:v>Lbp CECT748</c:v>
                </c:pt>
              </c:strCache>
            </c:strRef>
          </c:cat>
          <c:val>
            <c:numRef>
              <c:f>'ferment+probio'!$C$28:$C$32</c:f>
              <c:numCache>
                <c:formatCode>General</c:formatCode>
                <c:ptCount val="5"/>
                <c:pt idx="0">
                  <c:v>53.879999999999995</c:v>
                </c:pt>
                <c:pt idx="1">
                  <c:v>67.497000000000185</c:v>
                </c:pt>
                <c:pt idx="2">
                  <c:v>60.730000000000011</c:v>
                </c:pt>
                <c:pt idx="3">
                  <c:v>65.527999999999992</c:v>
                </c:pt>
                <c:pt idx="4">
                  <c:v>62.808</c:v>
                </c:pt>
              </c:numCache>
            </c:numRef>
          </c:val>
        </c:ser>
        <c:ser>
          <c:idx val="2"/>
          <c:order val="2"/>
          <c:tx>
            <c:strRef>
              <c:f>'ferment+probio'!$D$27</c:f>
              <c:strCache>
                <c:ptCount val="1"/>
                <c:pt idx="0">
                  <c:v>3 (Promilk)</c:v>
                </c:pt>
              </c:strCache>
            </c:strRef>
          </c:tx>
          <c:spPr>
            <a:solidFill>
              <a:srgbClr val="92D050"/>
            </a:solidFill>
            <a:ln>
              <a:solidFill>
                <a:srgbClr val="92D050"/>
              </a:solidFill>
            </a:ln>
          </c:spPr>
          <c:errBars>
            <c:errBarType val="both"/>
            <c:errValType val="cust"/>
            <c:plus>
              <c:numRef>
                <c:f>'ferment+probio'!$K$28:$K$32</c:f>
                <c:numCache>
                  <c:formatCode>General</c:formatCode>
                  <c:ptCount val="5"/>
                  <c:pt idx="0">
                    <c:v>0.64300000000000168</c:v>
                  </c:pt>
                  <c:pt idx="1">
                    <c:v>1.0900000000000001</c:v>
                  </c:pt>
                  <c:pt idx="2">
                    <c:v>0.67400000000000193</c:v>
                  </c:pt>
                  <c:pt idx="3">
                    <c:v>0.77700000000000191</c:v>
                  </c:pt>
                  <c:pt idx="4">
                    <c:v>0.82299999999999995</c:v>
                  </c:pt>
                </c:numCache>
              </c:numRef>
            </c:plus>
            <c:minus>
              <c:numRef>
                <c:f>'ferment+probio'!$K$28:$K$32</c:f>
                <c:numCache>
                  <c:formatCode>General</c:formatCode>
                  <c:ptCount val="5"/>
                  <c:pt idx="0">
                    <c:v>0.64300000000000168</c:v>
                  </c:pt>
                  <c:pt idx="1">
                    <c:v>1.0900000000000001</c:v>
                  </c:pt>
                  <c:pt idx="2">
                    <c:v>0.67400000000000193</c:v>
                  </c:pt>
                  <c:pt idx="3">
                    <c:v>0.77700000000000191</c:v>
                  </c:pt>
                  <c:pt idx="4">
                    <c:v>0.82299999999999995</c:v>
                  </c:pt>
                </c:numCache>
              </c:numRef>
            </c:minus>
          </c:errBars>
          <c:cat>
            <c:strRef>
              <c:f>'ferment+probio'!$A$28:$A$32</c:f>
              <c:strCache>
                <c:ptCount val="5"/>
                <c:pt idx="0">
                  <c:v>BLR</c:v>
                </c:pt>
                <c:pt idx="1">
                  <c:v>LbRE-LSAS</c:v>
                </c:pt>
                <c:pt idx="2">
                  <c:v>BB12</c:v>
                </c:pt>
                <c:pt idx="3">
                  <c:v>Lba CECT4529</c:v>
                </c:pt>
                <c:pt idx="4">
                  <c:v>Lbp CECT748</c:v>
                </c:pt>
              </c:strCache>
            </c:strRef>
          </c:cat>
          <c:val>
            <c:numRef>
              <c:f>'ferment+probio'!$D$28:$D$32</c:f>
              <c:numCache>
                <c:formatCode>General</c:formatCode>
                <c:ptCount val="5"/>
                <c:pt idx="0">
                  <c:v>44.697000000000003</c:v>
                </c:pt>
                <c:pt idx="1">
                  <c:v>57.344999999999999</c:v>
                </c:pt>
                <c:pt idx="2">
                  <c:v>67.793000000000006</c:v>
                </c:pt>
                <c:pt idx="3">
                  <c:v>65.367999999999995</c:v>
                </c:pt>
                <c:pt idx="4">
                  <c:v>56.062000000000012</c:v>
                </c:pt>
              </c:numCache>
            </c:numRef>
          </c:val>
        </c:ser>
        <c:ser>
          <c:idx val="3"/>
          <c:order val="3"/>
          <c:tx>
            <c:strRef>
              <c:f>'ferment+probio'!$E$27</c:f>
              <c:strCache>
                <c:ptCount val="1"/>
                <c:pt idx="0">
                  <c:v>4 (H. Caseine)</c:v>
                </c:pt>
              </c:strCache>
            </c:strRef>
          </c:tx>
          <c:spPr>
            <a:solidFill>
              <a:srgbClr val="990099"/>
            </a:solidFill>
            <a:ln>
              <a:solidFill>
                <a:srgbClr val="990099"/>
              </a:solidFill>
            </a:ln>
          </c:spPr>
          <c:errBars>
            <c:errBarType val="both"/>
            <c:errValType val="cust"/>
            <c:plus>
              <c:numRef>
                <c:f>'ferment+probio'!$L$28:$L$32</c:f>
                <c:numCache>
                  <c:formatCode>General</c:formatCode>
                  <c:ptCount val="5"/>
                  <c:pt idx="0">
                    <c:v>0.86200000000000065</c:v>
                  </c:pt>
                  <c:pt idx="1">
                    <c:v>0.73700000000000065</c:v>
                  </c:pt>
                  <c:pt idx="2">
                    <c:v>0.70400000000000063</c:v>
                  </c:pt>
                  <c:pt idx="3">
                    <c:v>0.84500000000000064</c:v>
                  </c:pt>
                  <c:pt idx="4">
                    <c:v>0.82199999999999995</c:v>
                  </c:pt>
                </c:numCache>
              </c:numRef>
            </c:plus>
            <c:minus>
              <c:numRef>
                <c:f>'ferment+probio'!$L$28:$L$32</c:f>
                <c:numCache>
                  <c:formatCode>General</c:formatCode>
                  <c:ptCount val="5"/>
                  <c:pt idx="0">
                    <c:v>0.86200000000000065</c:v>
                  </c:pt>
                  <c:pt idx="1">
                    <c:v>0.73700000000000065</c:v>
                  </c:pt>
                  <c:pt idx="2">
                    <c:v>0.70400000000000063</c:v>
                  </c:pt>
                  <c:pt idx="3">
                    <c:v>0.84500000000000064</c:v>
                  </c:pt>
                  <c:pt idx="4">
                    <c:v>0.82199999999999995</c:v>
                  </c:pt>
                </c:numCache>
              </c:numRef>
            </c:minus>
          </c:errBars>
          <c:cat>
            <c:strRef>
              <c:f>'ferment+probio'!$A$28:$A$32</c:f>
              <c:strCache>
                <c:ptCount val="5"/>
                <c:pt idx="0">
                  <c:v>BLR</c:v>
                </c:pt>
                <c:pt idx="1">
                  <c:v>LbRE-LSAS</c:v>
                </c:pt>
                <c:pt idx="2">
                  <c:v>BB12</c:v>
                </c:pt>
                <c:pt idx="3">
                  <c:v>Lba CECT4529</c:v>
                </c:pt>
                <c:pt idx="4">
                  <c:v>Lbp CECT748</c:v>
                </c:pt>
              </c:strCache>
            </c:strRef>
          </c:cat>
          <c:val>
            <c:numRef>
              <c:f>'ferment+probio'!$E$28:$E$32</c:f>
              <c:numCache>
                <c:formatCode>General</c:formatCode>
                <c:ptCount val="5"/>
                <c:pt idx="0">
                  <c:v>51.327000000000005</c:v>
                </c:pt>
                <c:pt idx="1">
                  <c:v>59.773000000000003</c:v>
                </c:pt>
                <c:pt idx="2">
                  <c:v>63.75</c:v>
                </c:pt>
                <c:pt idx="3">
                  <c:v>62.56</c:v>
                </c:pt>
                <c:pt idx="4">
                  <c:v>58.767000000000003</c:v>
                </c:pt>
              </c:numCache>
            </c:numRef>
          </c:val>
        </c:ser>
        <c:ser>
          <c:idx val="4"/>
          <c:order val="4"/>
          <c:tx>
            <c:strRef>
              <c:f>'ferment+probio'!$F$27</c:f>
              <c:strCache>
                <c:ptCount val="1"/>
                <c:pt idx="0">
                  <c:v>5 (H. Proteine)</c:v>
                </c:pt>
              </c:strCache>
            </c:strRef>
          </c:tx>
          <c:spPr>
            <a:solidFill>
              <a:srgbClr val="FF33CC"/>
            </a:solidFill>
            <a:ln>
              <a:solidFill>
                <a:srgbClr val="FF33CC"/>
              </a:solidFill>
            </a:ln>
          </c:spPr>
          <c:errBars>
            <c:errBarType val="both"/>
            <c:errValType val="cust"/>
            <c:plus>
              <c:numRef>
                <c:f>'ferment+probio'!$M$28:$M$32</c:f>
                <c:numCache>
                  <c:formatCode>General</c:formatCode>
                  <c:ptCount val="5"/>
                  <c:pt idx="0">
                    <c:v>0.81299999999999994</c:v>
                  </c:pt>
                  <c:pt idx="1">
                    <c:v>0.80700000000000005</c:v>
                  </c:pt>
                  <c:pt idx="2">
                    <c:v>0.72900000000000065</c:v>
                  </c:pt>
                  <c:pt idx="3">
                    <c:v>0.6500000000000018</c:v>
                  </c:pt>
                  <c:pt idx="4">
                    <c:v>0.52700000000000002</c:v>
                  </c:pt>
                </c:numCache>
              </c:numRef>
            </c:plus>
            <c:minus>
              <c:numRef>
                <c:f>'ferment+probio'!$M$28:$M$32</c:f>
                <c:numCache>
                  <c:formatCode>General</c:formatCode>
                  <c:ptCount val="5"/>
                  <c:pt idx="0">
                    <c:v>0.81299999999999994</c:v>
                  </c:pt>
                  <c:pt idx="1">
                    <c:v>0.80700000000000005</c:v>
                  </c:pt>
                  <c:pt idx="2">
                    <c:v>0.72900000000000065</c:v>
                  </c:pt>
                  <c:pt idx="3">
                    <c:v>0.6500000000000018</c:v>
                  </c:pt>
                  <c:pt idx="4">
                    <c:v>0.52700000000000002</c:v>
                  </c:pt>
                </c:numCache>
              </c:numRef>
            </c:minus>
          </c:errBars>
          <c:cat>
            <c:strRef>
              <c:f>'ferment+probio'!$A$28:$A$32</c:f>
              <c:strCache>
                <c:ptCount val="5"/>
                <c:pt idx="0">
                  <c:v>BLR</c:v>
                </c:pt>
                <c:pt idx="1">
                  <c:v>LbRE-LSAS</c:v>
                </c:pt>
                <c:pt idx="2">
                  <c:v>BB12</c:v>
                </c:pt>
                <c:pt idx="3">
                  <c:v>Lba CECT4529</c:v>
                </c:pt>
                <c:pt idx="4">
                  <c:v>Lbp CECT748</c:v>
                </c:pt>
              </c:strCache>
            </c:strRef>
          </c:cat>
          <c:val>
            <c:numRef>
              <c:f>'ferment+probio'!$F$28:$F$32</c:f>
              <c:numCache>
                <c:formatCode>General</c:formatCode>
                <c:ptCount val="5"/>
                <c:pt idx="0">
                  <c:v>51.605000000000011</c:v>
                </c:pt>
                <c:pt idx="1">
                  <c:v>63.722000000000108</c:v>
                </c:pt>
                <c:pt idx="2">
                  <c:v>70.235000000000014</c:v>
                </c:pt>
                <c:pt idx="3">
                  <c:v>67.637</c:v>
                </c:pt>
                <c:pt idx="4">
                  <c:v>61.962000000000003</c:v>
                </c:pt>
              </c:numCache>
            </c:numRef>
          </c:val>
        </c:ser>
        <c:axId val="137573120"/>
        <c:axId val="137575040"/>
      </c:barChart>
      <c:catAx>
        <c:axId val="137573120"/>
        <c:scaling>
          <c:orientation val="minMax"/>
        </c:scaling>
        <c:axPos val="b"/>
        <c:title>
          <c:tx>
            <c:rich>
              <a:bodyPr/>
              <a:lstStyle/>
              <a:p>
                <a:pPr>
                  <a:defRPr/>
                </a:pPr>
                <a:r>
                  <a:rPr lang="fr-FR">
                    <a:latin typeface="Times New Roman" pitchFamily="18" charset="0"/>
                    <a:cs typeface="Times New Roman" pitchFamily="18" charset="0"/>
                  </a:rPr>
                  <a:t>Les</a:t>
                </a:r>
                <a:r>
                  <a:rPr lang="fr-FR"/>
                  <a:t> </a:t>
                </a:r>
                <a:r>
                  <a:rPr lang="fr-FR">
                    <a:latin typeface="Times New Roman" pitchFamily="18" charset="0"/>
                    <a:cs typeface="Times New Roman" pitchFamily="18" charset="0"/>
                  </a:rPr>
                  <a:t>souches</a:t>
                </a:r>
                <a:r>
                  <a:rPr lang="fr-FR"/>
                  <a:t> </a:t>
                </a:r>
                <a:r>
                  <a:rPr lang="fr-FR">
                    <a:latin typeface="Times New Roman" pitchFamily="18" charset="0"/>
                    <a:cs typeface="Times New Roman" pitchFamily="18" charset="0"/>
                  </a:rPr>
                  <a:t>bénéfiques</a:t>
                </a:r>
              </a:p>
            </c:rich>
          </c:tx>
          <c:layout/>
        </c:title>
        <c:numFmt formatCode="General" sourceLinked="1"/>
        <c:tickLblPos val="nextTo"/>
        <c:spPr>
          <a:ln>
            <a:solidFill>
              <a:sysClr val="windowText" lastClr="000000"/>
            </a:solidFill>
          </a:ln>
        </c:spPr>
        <c:txPr>
          <a:bodyPr/>
          <a:lstStyle/>
          <a:p>
            <a:pPr>
              <a:defRPr b="1"/>
            </a:pPr>
            <a:endParaRPr lang="fr-FR"/>
          </a:p>
        </c:txPr>
        <c:crossAx val="137575040"/>
        <c:crosses val="autoZero"/>
        <c:auto val="1"/>
        <c:lblAlgn val="ctr"/>
        <c:lblOffset val="100"/>
      </c:catAx>
      <c:valAx>
        <c:axId val="137575040"/>
        <c:scaling>
          <c:orientation val="minMax"/>
          <c:max val="80"/>
          <c:min val="20"/>
        </c:scaling>
        <c:axPos val="l"/>
        <c:title>
          <c:tx>
            <c:rich>
              <a:bodyPr rot="-5400000" vert="horz"/>
              <a:lstStyle/>
              <a:p>
                <a:pPr>
                  <a:defRPr/>
                </a:pPr>
                <a:r>
                  <a:rPr lang="fr-FR">
                    <a:latin typeface="Times New Roman" pitchFamily="18" charset="0"/>
                    <a:cs typeface="Times New Roman" pitchFamily="18" charset="0"/>
                  </a:rPr>
                  <a:t>Viscosité en mPa.s</a:t>
                </a:r>
              </a:p>
            </c:rich>
          </c:tx>
          <c:layout/>
        </c:title>
        <c:numFmt formatCode="General" sourceLinked="1"/>
        <c:tickLblPos val="nextTo"/>
        <c:spPr>
          <a:ln>
            <a:solidFill>
              <a:sysClr val="windowText" lastClr="000000"/>
            </a:solidFill>
          </a:ln>
        </c:spPr>
        <c:txPr>
          <a:bodyPr/>
          <a:lstStyle/>
          <a:p>
            <a:pPr>
              <a:defRPr b="1"/>
            </a:pPr>
            <a:endParaRPr lang="fr-FR"/>
          </a:p>
        </c:txPr>
        <c:crossAx val="137573120"/>
        <c:crosses val="autoZero"/>
        <c:crossBetween val="between"/>
        <c:majorUnit val="10"/>
      </c:valAx>
    </c:plotArea>
    <c:plotVisOnly val="1"/>
    <c:dispBlanksAs val="gap"/>
  </c:chart>
  <c:spPr>
    <a:ln>
      <a:solidFill>
        <a:schemeClr val="bg1"/>
      </a:solidFill>
    </a:ln>
  </c:spPr>
  <c:externalData r:id="rId1"/>
</c:chartSpace>
</file>

<file path=word/charts/chart76.xml><?xml version="1.0" encoding="utf-8"?>
<c:chartSpace xmlns:c="http://schemas.openxmlformats.org/drawingml/2006/chart" xmlns:a="http://schemas.openxmlformats.org/drawingml/2006/main" xmlns:r="http://schemas.openxmlformats.org/officeDocument/2006/relationships">
  <c:date1904 val="1"/>
  <c:lang val="fr-FR"/>
  <c:style val="26"/>
  <c:chart>
    <c:plotArea>
      <c:layout>
        <c:manualLayout>
          <c:layoutTarget val="inner"/>
          <c:xMode val="edge"/>
          <c:yMode val="edge"/>
          <c:x val="0.14782315634670179"/>
          <c:y val="3.9428319635228075E-2"/>
          <c:w val="0.82623650642891433"/>
          <c:h val="0.76115140716899699"/>
        </c:manualLayout>
      </c:layout>
      <c:barChart>
        <c:barDir val="col"/>
        <c:grouping val="clustered"/>
        <c:ser>
          <c:idx val="0"/>
          <c:order val="0"/>
          <c:tx>
            <c:strRef>
              <c:f>'stp+probio'!$B$2</c:f>
              <c:strCache>
                <c:ptCount val="1"/>
                <c:pt idx="0">
                  <c:v>1 (Témoin)</c:v>
                </c:pt>
              </c:strCache>
            </c:strRef>
          </c:tx>
          <c:spPr>
            <a:solidFill>
              <a:srgbClr val="0070C0"/>
            </a:solidFill>
            <a:ln>
              <a:solidFill>
                <a:srgbClr val="0070C0"/>
              </a:solidFill>
            </a:ln>
          </c:spPr>
          <c:errBars>
            <c:errBarType val="both"/>
            <c:errValType val="cust"/>
            <c:plus>
              <c:numRef>
                <c:f>'stp+probio'!$I$3:$I$7</c:f>
                <c:numCache>
                  <c:formatCode>General</c:formatCode>
                  <c:ptCount val="5"/>
                  <c:pt idx="0">
                    <c:v>1.6830000000000001</c:v>
                  </c:pt>
                  <c:pt idx="1">
                    <c:v>10.713999999999999</c:v>
                  </c:pt>
                  <c:pt idx="2">
                    <c:v>1.9650000000000001</c:v>
                  </c:pt>
                  <c:pt idx="3">
                    <c:v>6.5839999999999996</c:v>
                  </c:pt>
                  <c:pt idx="4">
                    <c:v>2.8609999999999998</c:v>
                  </c:pt>
                </c:numCache>
              </c:numRef>
            </c:plus>
            <c:minus>
              <c:numRef>
                <c:f>'stp+probio'!$I$3:$I$7</c:f>
                <c:numCache>
                  <c:formatCode>General</c:formatCode>
                  <c:ptCount val="5"/>
                  <c:pt idx="0">
                    <c:v>1.6830000000000001</c:v>
                  </c:pt>
                  <c:pt idx="1">
                    <c:v>10.713999999999999</c:v>
                  </c:pt>
                  <c:pt idx="2">
                    <c:v>1.9650000000000001</c:v>
                  </c:pt>
                  <c:pt idx="3">
                    <c:v>6.5839999999999996</c:v>
                  </c:pt>
                  <c:pt idx="4">
                    <c:v>2.8609999999999998</c:v>
                  </c:pt>
                </c:numCache>
              </c:numRef>
            </c:minus>
          </c:errBars>
          <c:cat>
            <c:strRef>
              <c:f>'stp+probio'!$A$3:$A$7</c:f>
              <c:strCache>
                <c:ptCount val="5"/>
                <c:pt idx="0">
                  <c:v>BLR</c:v>
                </c:pt>
                <c:pt idx="1">
                  <c:v>LbRE-LSAS</c:v>
                </c:pt>
                <c:pt idx="2">
                  <c:v>BB12</c:v>
                </c:pt>
                <c:pt idx="3">
                  <c:v>Lba CECT4529</c:v>
                </c:pt>
                <c:pt idx="4">
                  <c:v>Lbp CECT748</c:v>
                </c:pt>
              </c:strCache>
            </c:strRef>
          </c:cat>
          <c:val>
            <c:numRef>
              <c:f>'stp+probio'!$B$3:$B$7</c:f>
              <c:numCache>
                <c:formatCode>General</c:formatCode>
                <c:ptCount val="5"/>
                <c:pt idx="0">
                  <c:v>146.583</c:v>
                </c:pt>
                <c:pt idx="1">
                  <c:v>421</c:v>
                </c:pt>
                <c:pt idx="2">
                  <c:v>165.25</c:v>
                </c:pt>
                <c:pt idx="3">
                  <c:v>211.167</c:v>
                </c:pt>
                <c:pt idx="4">
                  <c:v>134.86700000000027</c:v>
                </c:pt>
              </c:numCache>
            </c:numRef>
          </c:val>
        </c:ser>
        <c:ser>
          <c:idx val="1"/>
          <c:order val="1"/>
          <c:tx>
            <c:strRef>
              <c:f>'stp+probio'!$C$2</c:f>
              <c:strCache>
                <c:ptCount val="1"/>
                <c:pt idx="0">
                  <c:v>2 (Lactoserum)</c:v>
                </c:pt>
              </c:strCache>
            </c:strRef>
          </c:tx>
          <c:spPr>
            <a:solidFill>
              <a:srgbClr val="FF9900"/>
            </a:solidFill>
            <a:ln>
              <a:solidFill>
                <a:srgbClr val="FF9900"/>
              </a:solidFill>
            </a:ln>
          </c:spPr>
          <c:errBars>
            <c:errBarType val="both"/>
            <c:errValType val="cust"/>
            <c:plus>
              <c:numRef>
                <c:f>'stp+probio'!$J$3:$J$7</c:f>
                <c:numCache>
                  <c:formatCode>General</c:formatCode>
                  <c:ptCount val="5"/>
                  <c:pt idx="0">
                    <c:v>7.5830000000000002</c:v>
                  </c:pt>
                  <c:pt idx="1">
                    <c:v>17.329000000000001</c:v>
                  </c:pt>
                  <c:pt idx="2">
                    <c:v>9.9240000000000013</c:v>
                  </c:pt>
                  <c:pt idx="3">
                    <c:v>6.8860000000000001</c:v>
                  </c:pt>
                  <c:pt idx="4">
                    <c:v>4.2139999999999995</c:v>
                  </c:pt>
                </c:numCache>
              </c:numRef>
            </c:plus>
            <c:minus>
              <c:numRef>
                <c:f>'stp+probio'!$J$3:$J$7</c:f>
                <c:numCache>
                  <c:formatCode>General</c:formatCode>
                  <c:ptCount val="5"/>
                  <c:pt idx="0">
                    <c:v>7.5830000000000002</c:v>
                  </c:pt>
                  <c:pt idx="1">
                    <c:v>17.329000000000001</c:v>
                  </c:pt>
                  <c:pt idx="2">
                    <c:v>9.9240000000000013</c:v>
                  </c:pt>
                  <c:pt idx="3">
                    <c:v>6.8860000000000001</c:v>
                  </c:pt>
                  <c:pt idx="4">
                    <c:v>4.2139999999999995</c:v>
                  </c:pt>
                </c:numCache>
              </c:numRef>
            </c:minus>
          </c:errBars>
          <c:cat>
            <c:strRef>
              <c:f>'stp+probio'!$A$3:$A$7</c:f>
              <c:strCache>
                <c:ptCount val="5"/>
                <c:pt idx="0">
                  <c:v>BLR</c:v>
                </c:pt>
                <c:pt idx="1">
                  <c:v>LbRE-LSAS</c:v>
                </c:pt>
                <c:pt idx="2">
                  <c:v>BB12</c:v>
                </c:pt>
                <c:pt idx="3">
                  <c:v>Lba CECT4529</c:v>
                </c:pt>
                <c:pt idx="4">
                  <c:v>Lbp CECT748</c:v>
                </c:pt>
              </c:strCache>
            </c:strRef>
          </c:cat>
          <c:val>
            <c:numRef>
              <c:f>'stp+probio'!$C$3:$C$7</c:f>
              <c:numCache>
                <c:formatCode>General</c:formatCode>
                <c:ptCount val="5"/>
                <c:pt idx="0">
                  <c:v>254.917</c:v>
                </c:pt>
                <c:pt idx="1">
                  <c:v>673.5</c:v>
                </c:pt>
                <c:pt idx="2">
                  <c:v>264.45</c:v>
                </c:pt>
                <c:pt idx="3">
                  <c:v>562.93299999999817</c:v>
                </c:pt>
                <c:pt idx="4">
                  <c:v>228.833</c:v>
                </c:pt>
              </c:numCache>
            </c:numRef>
          </c:val>
        </c:ser>
        <c:ser>
          <c:idx val="2"/>
          <c:order val="2"/>
          <c:tx>
            <c:strRef>
              <c:f>'stp+probio'!$D$2</c:f>
              <c:strCache>
                <c:ptCount val="1"/>
                <c:pt idx="0">
                  <c:v>3 (Promilk)</c:v>
                </c:pt>
              </c:strCache>
            </c:strRef>
          </c:tx>
          <c:spPr>
            <a:solidFill>
              <a:srgbClr val="92D050"/>
            </a:solidFill>
            <a:ln>
              <a:solidFill>
                <a:srgbClr val="92D050"/>
              </a:solidFill>
            </a:ln>
          </c:spPr>
          <c:errBars>
            <c:errBarType val="both"/>
            <c:errValType val="cust"/>
            <c:plus>
              <c:numRef>
                <c:f>'stp+probio'!$K$3:$K$7</c:f>
                <c:numCache>
                  <c:formatCode>General</c:formatCode>
                  <c:ptCount val="5"/>
                  <c:pt idx="0">
                    <c:v>2.081</c:v>
                  </c:pt>
                  <c:pt idx="1">
                    <c:v>13.045</c:v>
                  </c:pt>
                  <c:pt idx="2">
                    <c:v>9.0500000000000007</c:v>
                  </c:pt>
                  <c:pt idx="3">
                    <c:v>8.907</c:v>
                  </c:pt>
                  <c:pt idx="4">
                    <c:v>2.5179999999999998</c:v>
                  </c:pt>
                </c:numCache>
              </c:numRef>
            </c:plus>
            <c:minus>
              <c:numRef>
                <c:f>'stp+probio'!$K$3:$K$7</c:f>
                <c:numCache>
                  <c:formatCode>General</c:formatCode>
                  <c:ptCount val="5"/>
                  <c:pt idx="0">
                    <c:v>2.081</c:v>
                  </c:pt>
                  <c:pt idx="1">
                    <c:v>13.045</c:v>
                  </c:pt>
                  <c:pt idx="2">
                    <c:v>9.0500000000000007</c:v>
                  </c:pt>
                  <c:pt idx="3">
                    <c:v>8.907</c:v>
                  </c:pt>
                  <c:pt idx="4">
                    <c:v>2.5179999999999998</c:v>
                  </c:pt>
                </c:numCache>
              </c:numRef>
            </c:minus>
          </c:errBars>
          <c:cat>
            <c:strRef>
              <c:f>'stp+probio'!$A$3:$A$7</c:f>
              <c:strCache>
                <c:ptCount val="5"/>
                <c:pt idx="0">
                  <c:v>BLR</c:v>
                </c:pt>
                <c:pt idx="1">
                  <c:v>LbRE-LSAS</c:v>
                </c:pt>
                <c:pt idx="2">
                  <c:v>BB12</c:v>
                </c:pt>
                <c:pt idx="3">
                  <c:v>Lba CECT4529</c:v>
                </c:pt>
                <c:pt idx="4">
                  <c:v>Lbp CECT748</c:v>
                </c:pt>
              </c:strCache>
            </c:strRef>
          </c:cat>
          <c:val>
            <c:numRef>
              <c:f>'stp+probio'!$D$3:$D$7</c:f>
              <c:numCache>
                <c:formatCode>General</c:formatCode>
                <c:ptCount val="5"/>
                <c:pt idx="0">
                  <c:v>155.78300000000002</c:v>
                </c:pt>
                <c:pt idx="1">
                  <c:v>370.83300000000003</c:v>
                </c:pt>
                <c:pt idx="2">
                  <c:v>186.71699999999998</c:v>
                </c:pt>
                <c:pt idx="3">
                  <c:v>255.4</c:v>
                </c:pt>
                <c:pt idx="4">
                  <c:v>142.63299999999998</c:v>
                </c:pt>
              </c:numCache>
            </c:numRef>
          </c:val>
        </c:ser>
        <c:ser>
          <c:idx val="3"/>
          <c:order val="3"/>
          <c:tx>
            <c:strRef>
              <c:f>'stp+probio'!$E$2</c:f>
              <c:strCache>
                <c:ptCount val="1"/>
                <c:pt idx="0">
                  <c:v>4 (H. Caseine)</c:v>
                </c:pt>
              </c:strCache>
            </c:strRef>
          </c:tx>
          <c:spPr>
            <a:solidFill>
              <a:srgbClr val="990099"/>
            </a:solidFill>
            <a:ln>
              <a:solidFill>
                <a:srgbClr val="990099"/>
              </a:solidFill>
            </a:ln>
          </c:spPr>
          <c:errBars>
            <c:errBarType val="both"/>
            <c:errValType val="cust"/>
            <c:plus>
              <c:numRef>
                <c:f>'stp+probio'!$L$3:$L$7</c:f>
                <c:numCache>
                  <c:formatCode>General</c:formatCode>
                  <c:ptCount val="5"/>
                  <c:pt idx="0">
                    <c:v>6.0129999999999955</c:v>
                  </c:pt>
                  <c:pt idx="1">
                    <c:v>12.143999999999998</c:v>
                  </c:pt>
                  <c:pt idx="2">
                    <c:v>5.9390000000000125</c:v>
                  </c:pt>
                  <c:pt idx="3">
                    <c:v>5.7669999999999995</c:v>
                  </c:pt>
                  <c:pt idx="4">
                    <c:v>3.5129999999999977</c:v>
                  </c:pt>
                </c:numCache>
              </c:numRef>
            </c:plus>
            <c:minus>
              <c:numRef>
                <c:f>'stp+probio'!$L$3:$L$7</c:f>
                <c:numCache>
                  <c:formatCode>General</c:formatCode>
                  <c:ptCount val="5"/>
                  <c:pt idx="0">
                    <c:v>6.0129999999999955</c:v>
                  </c:pt>
                  <c:pt idx="1">
                    <c:v>12.143999999999998</c:v>
                  </c:pt>
                  <c:pt idx="2">
                    <c:v>5.9390000000000125</c:v>
                  </c:pt>
                  <c:pt idx="3">
                    <c:v>5.7669999999999995</c:v>
                  </c:pt>
                  <c:pt idx="4">
                    <c:v>3.5129999999999977</c:v>
                  </c:pt>
                </c:numCache>
              </c:numRef>
            </c:minus>
          </c:errBars>
          <c:cat>
            <c:strRef>
              <c:f>'stp+probio'!$A$3:$A$7</c:f>
              <c:strCache>
                <c:ptCount val="5"/>
                <c:pt idx="0">
                  <c:v>BLR</c:v>
                </c:pt>
                <c:pt idx="1">
                  <c:v>LbRE-LSAS</c:v>
                </c:pt>
                <c:pt idx="2">
                  <c:v>BB12</c:v>
                </c:pt>
                <c:pt idx="3">
                  <c:v>Lba CECT4529</c:v>
                </c:pt>
                <c:pt idx="4">
                  <c:v>Lbp CECT748</c:v>
                </c:pt>
              </c:strCache>
            </c:strRef>
          </c:cat>
          <c:val>
            <c:numRef>
              <c:f>'stp+probio'!$E$3:$E$7</c:f>
              <c:numCache>
                <c:formatCode>General</c:formatCode>
                <c:ptCount val="5"/>
                <c:pt idx="0">
                  <c:v>209.93300000000002</c:v>
                </c:pt>
                <c:pt idx="1">
                  <c:v>526.33299999999792</c:v>
                </c:pt>
                <c:pt idx="2">
                  <c:v>199.7</c:v>
                </c:pt>
                <c:pt idx="3">
                  <c:v>370.66699999999969</c:v>
                </c:pt>
                <c:pt idx="4">
                  <c:v>182.86700000000027</c:v>
                </c:pt>
              </c:numCache>
            </c:numRef>
          </c:val>
        </c:ser>
        <c:ser>
          <c:idx val="4"/>
          <c:order val="4"/>
          <c:tx>
            <c:strRef>
              <c:f>'stp+probio'!$F$2</c:f>
              <c:strCache>
                <c:ptCount val="1"/>
                <c:pt idx="0">
                  <c:v>5 (H. Proteine)</c:v>
                </c:pt>
              </c:strCache>
            </c:strRef>
          </c:tx>
          <c:spPr>
            <a:solidFill>
              <a:srgbClr val="FF33CC"/>
            </a:solidFill>
            <a:ln>
              <a:solidFill>
                <a:srgbClr val="FF33CC"/>
              </a:solidFill>
            </a:ln>
          </c:spPr>
          <c:errBars>
            <c:errBarType val="both"/>
            <c:errValType val="cust"/>
            <c:plus>
              <c:numRef>
                <c:f>'stp+probio'!$M$3:$M$7</c:f>
                <c:numCache>
                  <c:formatCode>General</c:formatCode>
                  <c:ptCount val="5"/>
                  <c:pt idx="0">
                    <c:v>6.875</c:v>
                  </c:pt>
                  <c:pt idx="1">
                    <c:v>16.149000000000001</c:v>
                  </c:pt>
                  <c:pt idx="2">
                    <c:v>7.7709999999999999</c:v>
                  </c:pt>
                  <c:pt idx="3">
                    <c:v>6.7709999999999999</c:v>
                  </c:pt>
                  <c:pt idx="4">
                    <c:v>5.29</c:v>
                  </c:pt>
                </c:numCache>
              </c:numRef>
            </c:plus>
            <c:minus>
              <c:numRef>
                <c:f>'stp+probio'!$M$3:$M$7</c:f>
                <c:numCache>
                  <c:formatCode>General</c:formatCode>
                  <c:ptCount val="5"/>
                  <c:pt idx="0">
                    <c:v>6.875</c:v>
                  </c:pt>
                  <c:pt idx="1">
                    <c:v>16.149000000000001</c:v>
                  </c:pt>
                  <c:pt idx="2">
                    <c:v>7.7709999999999999</c:v>
                  </c:pt>
                  <c:pt idx="3">
                    <c:v>6.7709999999999999</c:v>
                  </c:pt>
                  <c:pt idx="4">
                    <c:v>5.29</c:v>
                  </c:pt>
                </c:numCache>
              </c:numRef>
            </c:minus>
          </c:errBars>
          <c:cat>
            <c:strRef>
              <c:f>'stp+probio'!$A$3:$A$7</c:f>
              <c:strCache>
                <c:ptCount val="5"/>
                <c:pt idx="0">
                  <c:v>BLR</c:v>
                </c:pt>
                <c:pt idx="1">
                  <c:v>LbRE-LSAS</c:v>
                </c:pt>
                <c:pt idx="2">
                  <c:v>BB12</c:v>
                </c:pt>
                <c:pt idx="3">
                  <c:v>Lba CECT4529</c:v>
                </c:pt>
                <c:pt idx="4">
                  <c:v>Lbp CECT748</c:v>
                </c:pt>
              </c:strCache>
            </c:strRef>
          </c:cat>
          <c:val>
            <c:numRef>
              <c:f>'stp+probio'!$F$3:$F$7</c:f>
              <c:numCache>
                <c:formatCode>General</c:formatCode>
                <c:ptCount val="5"/>
                <c:pt idx="0">
                  <c:v>179.43300000000002</c:v>
                </c:pt>
                <c:pt idx="1">
                  <c:v>633</c:v>
                </c:pt>
                <c:pt idx="2">
                  <c:v>233.5</c:v>
                </c:pt>
                <c:pt idx="3">
                  <c:v>427.73299999999915</c:v>
                </c:pt>
                <c:pt idx="4">
                  <c:v>167.13299999999998</c:v>
                </c:pt>
              </c:numCache>
            </c:numRef>
          </c:val>
        </c:ser>
        <c:axId val="137628672"/>
        <c:axId val="137634944"/>
      </c:barChart>
      <c:catAx>
        <c:axId val="137628672"/>
        <c:scaling>
          <c:orientation val="minMax"/>
        </c:scaling>
        <c:axPos val="b"/>
        <c:title>
          <c:tx>
            <c:rich>
              <a:bodyPr/>
              <a:lstStyle/>
              <a:p>
                <a:pPr>
                  <a:defRPr/>
                </a:pPr>
                <a:r>
                  <a:rPr lang="en-US">
                    <a:latin typeface="Times New Roman" pitchFamily="18" charset="0"/>
                    <a:cs typeface="Times New Roman" pitchFamily="18" charset="0"/>
                  </a:rPr>
                  <a:t>Les souches bénéfiques</a:t>
                </a:r>
              </a:p>
            </c:rich>
          </c:tx>
          <c:layout/>
        </c:title>
        <c:numFmt formatCode="General" sourceLinked="1"/>
        <c:tickLblPos val="nextTo"/>
        <c:spPr>
          <a:ln>
            <a:solidFill>
              <a:sysClr val="windowText" lastClr="000000"/>
            </a:solidFill>
          </a:ln>
        </c:spPr>
        <c:txPr>
          <a:bodyPr/>
          <a:lstStyle/>
          <a:p>
            <a:pPr>
              <a:defRPr b="1"/>
            </a:pPr>
            <a:endParaRPr lang="fr-FR"/>
          </a:p>
        </c:txPr>
        <c:crossAx val="137634944"/>
        <c:crosses val="autoZero"/>
        <c:auto val="1"/>
        <c:lblAlgn val="ctr"/>
        <c:lblOffset val="100"/>
      </c:catAx>
      <c:valAx>
        <c:axId val="137634944"/>
        <c:scaling>
          <c:orientation val="minMax"/>
          <c:max val="700"/>
          <c:min val="100"/>
        </c:scaling>
        <c:axPos val="l"/>
        <c:title>
          <c:tx>
            <c:rich>
              <a:bodyPr/>
              <a:lstStyle/>
              <a:p>
                <a:pPr>
                  <a:defRPr/>
                </a:pPr>
                <a:r>
                  <a:rPr lang="en-US">
                    <a:latin typeface="Times New Roman" pitchFamily="18" charset="0"/>
                    <a:cs typeface="Times New Roman" pitchFamily="18" charset="0"/>
                  </a:rPr>
                  <a:t>EPS en mg/l</a:t>
                </a:r>
              </a:p>
            </c:rich>
          </c:tx>
          <c:layout/>
        </c:title>
        <c:numFmt formatCode="General" sourceLinked="1"/>
        <c:tickLblPos val="nextTo"/>
        <c:spPr>
          <a:ln>
            <a:solidFill>
              <a:sysClr val="windowText" lastClr="000000"/>
            </a:solidFill>
          </a:ln>
        </c:spPr>
        <c:txPr>
          <a:bodyPr/>
          <a:lstStyle/>
          <a:p>
            <a:pPr>
              <a:defRPr b="1"/>
            </a:pPr>
            <a:endParaRPr lang="fr-FR"/>
          </a:p>
        </c:txPr>
        <c:crossAx val="137628672"/>
        <c:crosses val="autoZero"/>
        <c:crossBetween val="between"/>
        <c:majorUnit val="100"/>
      </c:valAx>
    </c:plotArea>
    <c:plotVisOnly val="1"/>
    <c:dispBlanksAs val="gap"/>
  </c:chart>
  <c:spPr>
    <a:ln>
      <a:solidFill>
        <a:schemeClr val="bg1"/>
      </a:solidFill>
    </a:ln>
  </c:sp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a:pPr>
            <a:r>
              <a:rPr lang="fr-FR"/>
              <a:t>C</a:t>
            </a:r>
          </a:p>
        </c:rich>
      </c:tx>
      <c:layout>
        <c:manualLayout>
          <c:xMode val="edge"/>
          <c:yMode val="edge"/>
          <c:x val="1.5364124260586916E-3"/>
          <c:y val="0"/>
        </c:manualLayout>
      </c:layout>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25460571159948292"/>
          <c:y val="9.7735146743020765E-2"/>
          <c:w val="0.68167979002624668"/>
          <c:h val="0.6784337866857556"/>
        </c:manualLayout>
      </c:layout>
      <c:lineChart>
        <c:grouping val="standard"/>
        <c:ser>
          <c:idx val="0"/>
          <c:order val="0"/>
          <c:tx>
            <c:strRef>
              <c:f>Sheet1!$B$12</c:f>
              <c:strCache>
                <c:ptCount val="1"/>
                <c:pt idx="0">
                  <c:v>1 (Temoin)</c:v>
                </c:pt>
              </c:strCache>
            </c:strRef>
          </c:tx>
          <c:spPr>
            <a:ln w="12700"/>
          </c:spPr>
          <c:errBars>
            <c:errDir val="y"/>
            <c:errBarType val="both"/>
            <c:errValType val="cust"/>
            <c:plus>
              <c:numRef>
                <c:f>Sheet1!$I$13:$M$13</c:f>
                <c:numCache>
                  <c:formatCode>General</c:formatCode>
                  <c:ptCount val="5"/>
                  <c:pt idx="0">
                    <c:v>3.500000000000001E-2</c:v>
                  </c:pt>
                  <c:pt idx="1">
                    <c:v>2.0000000000000011E-2</c:v>
                  </c:pt>
                  <c:pt idx="2">
                    <c:v>2.5999999999999999E-2</c:v>
                  </c:pt>
                  <c:pt idx="3">
                    <c:v>1.90000000000001E-2</c:v>
                  </c:pt>
                  <c:pt idx="4">
                    <c:v>2.7000000000000145E-2</c:v>
                  </c:pt>
                </c:numCache>
              </c:numRef>
            </c:plus>
            <c:minus>
              <c:numRef>
                <c:f>Sheet1!$I$13:$M$13</c:f>
                <c:numCache>
                  <c:formatCode>General</c:formatCode>
                  <c:ptCount val="5"/>
                  <c:pt idx="0">
                    <c:v>3.500000000000001E-2</c:v>
                  </c:pt>
                  <c:pt idx="1">
                    <c:v>2.0000000000000011E-2</c:v>
                  </c:pt>
                  <c:pt idx="2">
                    <c:v>2.5999999999999999E-2</c:v>
                  </c:pt>
                  <c:pt idx="3">
                    <c:v>1.90000000000001E-2</c:v>
                  </c:pt>
                  <c:pt idx="4">
                    <c:v>2.7000000000000145E-2</c:v>
                  </c:pt>
                </c:numCache>
              </c:numRef>
            </c:minus>
          </c:errBars>
          <c:cat>
            <c:strRef>
              <c:f>Sheet1!$A$13:$A$16</c:f>
              <c:strCache>
                <c:ptCount val="4"/>
                <c:pt idx="0">
                  <c:v>T0</c:v>
                </c:pt>
                <c:pt idx="1">
                  <c:v>T1</c:v>
                </c:pt>
                <c:pt idx="2">
                  <c:v>T2</c:v>
                </c:pt>
                <c:pt idx="3">
                  <c:v>T3</c:v>
                </c:pt>
              </c:strCache>
            </c:strRef>
          </c:cat>
          <c:val>
            <c:numRef>
              <c:f>Sheet1!$B$13:$B$16</c:f>
              <c:numCache>
                <c:formatCode>General</c:formatCode>
                <c:ptCount val="4"/>
                <c:pt idx="0">
                  <c:v>5.98</c:v>
                </c:pt>
                <c:pt idx="1">
                  <c:v>7</c:v>
                </c:pt>
                <c:pt idx="2">
                  <c:v>7.74</c:v>
                </c:pt>
                <c:pt idx="3">
                  <c:v>8.4600000000000026</c:v>
                </c:pt>
              </c:numCache>
            </c:numRef>
          </c:val>
        </c:ser>
        <c:ser>
          <c:idx val="1"/>
          <c:order val="1"/>
          <c:tx>
            <c:strRef>
              <c:f>Sheet1!$C$12</c:f>
              <c:strCache>
                <c:ptCount val="1"/>
                <c:pt idx="0">
                  <c:v>2 (Lactoserum)</c:v>
                </c:pt>
              </c:strCache>
            </c:strRef>
          </c:tx>
          <c:spPr>
            <a:ln w="12700">
              <a:solidFill>
                <a:srgbClr val="FF9900"/>
              </a:solidFill>
            </a:ln>
          </c:spPr>
          <c:marker>
            <c:spPr>
              <a:solidFill>
                <a:srgbClr val="FF9900"/>
              </a:solidFill>
              <a:ln>
                <a:solidFill>
                  <a:srgbClr val="FF9900"/>
                </a:solidFill>
              </a:ln>
            </c:spPr>
          </c:marker>
          <c:errBars>
            <c:errDir val="y"/>
            <c:errBarType val="both"/>
            <c:errValType val="cust"/>
            <c:plus>
              <c:numRef>
                <c:f>Sheet1!$I$14:$M$14</c:f>
                <c:numCache>
                  <c:formatCode>General</c:formatCode>
                  <c:ptCount val="5"/>
                  <c:pt idx="0">
                    <c:v>2.5999999999999999E-2</c:v>
                  </c:pt>
                  <c:pt idx="1">
                    <c:v>3.1000000000000052E-2</c:v>
                  </c:pt>
                  <c:pt idx="2">
                    <c:v>4.2000000000000023E-2</c:v>
                  </c:pt>
                  <c:pt idx="3">
                    <c:v>3.1000000000000052E-2</c:v>
                  </c:pt>
                  <c:pt idx="4">
                    <c:v>3.6999999999999998E-2</c:v>
                  </c:pt>
                </c:numCache>
              </c:numRef>
            </c:plus>
            <c:minus>
              <c:numRef>
                <c:f>Sheet1!$I$14:$M$14</c:f>
                <c:numCache>
                  <c:formatCode>General</c:formatCode>
                  <c:ptCount val="5"/>
                  <c:pt idx="0">
                    <c:v>2.5999999999999999E-2</c:v>
                  </c:pt>
                  <c:pt idx="1">
                    <c:v>3.1000000000000052E-2</c:v>
                  </c:pt>
                  <c:pt idx="2">
                    <c:v>4.2000000000000023E-2</c:v>
                  </c:pt>
                  <c:pt idx="3">
                    <c:v>3.1000000000000052E-2</c:v>
                  </c:pt>
                  <c:pt idx="4">
                    <c:v>3.6999999999999998E-2</c:v>
                  </c:pt>
                </c:numCache>
              </c:numRef>
            </c:minus>
          </c:errBars>
          <c:cat>
            <c:strRef>
              <c:f>Sheet1!$A$13:$A$16</c:f>
              <c:strCache>
                <c:ptCount val="4"/>
                <c:pt idx="0">
                  <c:v>T0</c:v>
                </c:pt>
                <c:pt idx="1">
                  <c:v>T1</c:v>
                </c:pt>
                <c:pt idx="2">
                  <c:v>T2</c:v>
                </c:pt>
                <c:pt idx="3">
                  <c:v>T3</c:v>
                </c:pt>
              </c:strCache>
            </c:strRef>
          </c:cat>
          <c:val>
            <c:numRef>
              <c:f>Sheet1!$C$13:$C$16</c:f>
              <c:numCache>
                <c:formatCode>General</c:formatCode>
                <c:ptCount val="4"/>
                <c:pt idx="0">
                  <c:v>5.98</c:v>
                </c:pt>
                <c:pt idx="1">
                  <c:v>7.24</c:v>
                </c:pt>
                <c:pt idx="2">
                  <c:v>8.09</c:v>
                </c:pt>
                <c:pt idx="3">
                  <c:v>9.18</c:v>
                </c:pt>
              </c:numCache>
            </c:numRef>
          </c:val>
        </c:ser>
        <c:ser>
          <c:idx val="2"/>
          <c:order val="2"/>
          <c:tx>
            <c:strRef>
              <c:f>Sheet1!$D$12</c:f>
              <c:strCache>
                <c:ptCount val="1"/>
                <c:pt idx="0">
                  <c:v>3 (Promilk)</c:v>
                </c:pt>
              </c:strCache>
            </c:strRef>
          </c:tx>
          <c:spPr>
            <a:ln w="12700">
              <a:solidFill>
                <a:srgbClr val="92D050"/>
              </a:solidFill>
            </a:ln>
          </c:spPr>
          <c:marker>
            <c:spPr>
              <a:solidFill>
                <a:srgbClr val="92D050"/>
              </a:solidFill>
              <a:ln>
                <a:solidFill>
                  <a:srgbClr val="92D050"/>
                </a:solidFill>
              </a:ln>
            </c:spPr>
          </c:marker>
          <c:errBars>
            <c:errDir val="y"/>
            <c:errBarType val="both"/>
            <c:errValType val="cust"/>
            <c:plus>
              <c:numRef>
                <c:f>Sheet1!$I$15:$M$15</c:f>
                <c:numCache>
                  <c:formatCode>General</c:formatCode>
                  <c:ptCount val="5"/>
                  <c:pt idx="0">
                    <c:v>4.3000000000000003E-2</c:v>
                  </c:pt>
                  <c:pt idx="1">
                    <c:v>2.9000000000000001E-2</c:v>
                  </c:pt>
                  <c:pt idx="2">
                    <c:v>2.5999999999999999E-2</c:v>
                  </c:pt>
                  <c:pt idx="3">
                    <c:v>2.5999999999999999E-2</c:v>
                  </c:pt>
                  <c:pt idx="4">
                    <c:v>2.9000000000000001E-2</c:v>
                  </c:pt>
                </c:numCache>
              </c:numRef>
            </c:plus>
            <c:minus>
              <c:numRef>
                <c:f>Sheet1!$I$15:$M$15</c:f>
                <c:numCache>
                  <c:formatCode>General</c:formatCode>
                  <c:ptCount val="5"/>
                  <c:pt idx="0">
                    <c:v>4.3000000000000003E-2</c:v>
                  </c:pt>
                  <c:pt idx="1">
                    <c:v>2.9000000000000001E-2</c:v>
                  </c:pt>
                  <c:pt idx="2">
                    <c:v>2.5999999999999999E-2</c:v>
                  </c:pt>
                  <c:pt idx="3">
                    <c:v>2.5999999999999999E-2</c:v>
                  </c:pt>
                  <c:pt idx="4">
                    <c:v>2.9000000000000001E-2</c:v>
                  </c:pt>
                </c:numCache>
              </c:numRef>
            </c:minus>
          </c:errBars>
          <c:cat>
            <c:strRef>
              <c:f>Sheet1!$A$13:$A$16</c:f>
              <c:strCache>
                <c:ptCount val="4"/>
                <c:pt idx="0">
                  <c:v>T0</c:v>
                </c:pt>
                <c:pt idx="1">
                  <c:v>T1</c:v>
                </c:pt>
                <c:pt idx="2">
                  <c:v>T2</c:v>
                </c:pt>
                <c:pt idx="3">
                  <c:v>T3</c:v>
                </c:pt>
              </c:strCache>
            </c:strRef>
          </c:cat>
          <c:val>
            <c:numRef>
              <c:f>Sheet1!$D$13:$D$16</c:f>
              <c:numCache>
                <c:formatCode>General</c:formatCode>
                <c:ptCount val="4"/>
                <c:pt idx="0">
                  <c:v>5.99</c:v>
                </c:pt>
                <c:pt idx="1">
                  <c:v>7.06</c:v>
                </c:pt>
                <c:pt idx="2">
                  <c:v>7.8</c:v>
                </c:pt>
                <c:pt idx="3">
                  <c:v>8.56</c:v>
                </c:pt>
              </c:numCache>
            </c:numRef>
          </c:val>
        </c:ser>
        <c:ser>
          <c:idx val="3"/>
          <c:order val="3"/>
          <c:tx>
            <c:strRef>
              <c:f>Sheet1!$E$12</c:f>
              <c:strCache>
                <c:ptCount val="1"/>
                <c:pt idx="0">
                  <c:v>4 (H. Caseine)</c:v>
                </c:pt>
              </c:strCache>
            </c:strRef>
          </c:tx>
          <c:spPr>
            <a:ln w="12700">
              <a:solidFill>
                <a:srgbClr val="990099"/>
              </a:solidFill>
            </a:ln>
          </c:spPr>
          <c:marker>
            <c:spPr>
              <a:solidFill>
                <a:srgbClr val="990099"/>
              </a:solidFill>
              <a:ln>
                <a:solidFill>
                  <a:srgbClr val="990099"/>
                </a:solidFill>
              </a:ln>
            </c:spPr>
          </c:marker>
          <c:errBars>
            <c:errDir val="y"/>
            <c:errBarType val="both"/>
            <c:errValType val="cust"/>
            <c:plus>
              <c:numRef>
                <c:f>Sheet1!$I$16:$M$16</c:f>
                <c:numCache>
                  <c:formatCode>General</c:formatCode>
                  <c:ptCount val="5"/>
                  <c:pt idx="0">
                    <c:v>2.0000000000000011E-2</c:v>
                  </c:pt>
                  <c:pt idx="1">
                    <c:v>2.7000000000000145E-2</c:v>
                  </c:pt>
                  <c:pt idx="2">
                    <c:v>4.8000000000000001E-2</c:v>
                  </c:pt>
                  <c:pt idx="3">
                    <c:v>3.3000000000000002E-2</c:v>
                  </c:pt>
                  <c:pt idx="4">
                    <c:v>3.7999999999999999E-2</c:v>
                  </c:pt>
                </c:numCache>
              </c:numRef>
            </c:plus>
            <c:minus>
              <c:numRef>
                <c:f>Sheet1!$I$16:$M$16</c:f>
                <c:numCache>
                  <c:formatCode>General</c:formatCode>
                  <c:ptCount val="5"/>
                  <c:pt idx="0">
                    <c:v>2.0000000000000011E-2</c:v>
                  </c:pt>
                  <c:pt idx="1">
                    <c:v>2.7000000000000145E-2</c:v>
                  </c:pt>
                  <c:pt idx="2">
                    <c:v>4.8000000000000001E-2</c:v>
                  </c:pt>
                  <c:pt idx="3">
                    <c:v>3.3000000000000002E-2</c:v>
                  </c:pt>
                  <c:pt idx="4">
                    <c:v>3.7999999999999999E-2</c:v>
                  </c:pt>
                </c:numCache>
              </c:numRef>
            </c:minus>
          </c:errBars>
          <c:cat>
            <c:strRef>
              <c:f>Sheet1!$A$13:$A$16</c:f>
              <c:strCache>
                <c:ptCount val="4"/>
                <c:pt idx="0">
                  <c:v>T0</c:v>
                </c:pt>
                <c:pt idx="1">
                  <c:v>T1</c:v>
                </c:pt>
                <c:pt idx="2">
                  <c:v>T2</c:v>
                </c:pt>
                <c:pt idx="3">
                  <c:v>T3</c:v>
                </c:pt>
              </c:strCache>
            </c:strRef>
          </c:cat>
          <c:val>
            <c:numRef>
              <c:f>Sheet1!$E$13:$E$16</c:f>
              <c:numCache>
                <c:formatCode>General</c:formatCode>
                <c:ptCount val="4"/>
                <c:pt idx="0">
                  <c:v>5.9700000000000024</c:v>
                </c:pt>
                <c:pt idx="1">
                  <c:v>7.1199999999999966</c:v>
                </c:pt>
                <c:pt idx="2">
                  <c:v>7.91</c:v>
                </c:pt>
                <c:pt idx="3">
                  <c:v>8.8000000000000007</c:v>
                </c:pt>
              </c:numCache>
            </c:numRef>
          </c:val>
        </c:ser>
        <c:ser>
          <c:idx val="4"/>
          <c:order val="4"/>
          <c:tx>
            <c:strRef>
              <c:f>Sheet1!$F$12</c:f>
              <c:strCache>
                <c:ptCount val="1"/>
                <c:pt idx="0">
                  <c:v>5 (H. Proteine)</c:v>
                </c:pt>
              </c:strCache>
            </c:strRef>
          </c:tx>
          <c:spPr>
            <a:ln w="12700">
              <a:solidFill>
                <a:srgbClr val="FF33CC"/>
              </a:solidFill>
            </a:ln>
          </c:spPr>
          <c:marker>
            <c:symbol val="circle"/>
            <c:size val="4"/>
            <c:spPr>
              <a:solidFill>
                <a:srgbClr val="FF33CC"/>
              </a:solidFill>
              <a:ln>
                <a:solidFill>
                  <a:srgbClr val="FF33CC"/>
                </a:solidFill>
              </a:ln>
            </c:spPr>
          </c:marker>
          <c:cat>
            <c:strRef>
              <c:f>Sheet1!$A$13:$A$16</c:f>
              <c:strCache>
                <c:ptCount val="4"/>
                <c:pt idx="0">
                  <c:v>T0</c:v>
                </c:pt>
                <c:pt idx="1">
                  <c:v>T1</c:v>
                </c:pt>
                <c:pt idx="2">
                  <c:v>T2</c:v>
                </c:pt>
                <c:pt idx="3">
                  <c:v>T3</c:v>
                </c:pt>
              </c:strCache>
            </c:strRef>
          </c:cat>
          <c:val>
            <c:numRef>
              <c:f>Sheet1!$F$13:$F$16</c:f>
              <c:numCache>
                <c:formatCode>General</c:formatCode>
                <c:ptCount val="4"/>
                <c:pt idx="0">
                  <c:v>5.98</c:v>
                </c:pt>
                <c:pt idx="1">
                  <c:v>7.28</c:v>
                </c:pt>
                <c:pt idx="2">
                  <c:v>8.18</c:v>
                </c:pt>
                <c:pt idx="3">
                  <c:v>9.3000000000000007</c:v>
                </c:pt>
              </c:numCache>
            </c:numRef>
          </c:val>
        </c:ser>
        <c:marker val="1"/>
        <c:axId val="58741504"/>
        <c:axId val="58743808"/>
      </c:lineChart>
      <c:catAx>
        <c:axId val="58741504"/>
        <c:scaling>
          <c:orientation val="minMax"/>
        </c:scaling>
        <c:axPos val="b"/>
        <c:title>
          <c:tx>
            <c:rich>
              <a:bodyPr/>
              <a:lstStyle/>
              <a:p>
                <a:pPr>
                  <a:defRPr/>
                </a:pPr>
                <a:r>
                  <a:rPr lang="en-US"/>
                  <a:t>Temps (h)</a:t>
                </a:r>
              </a:p>
            </c:rich>
          </c:tx>
          <c:layout>
            <c:manualLayout>
              <c:xMode val="edge"/>
              <c:yMode val="edge"/>
              <c:x val="0.46377208445959178"/>
              <c:y val="0.91212121212121355"/>
            </c:manualLayout>
          </c:layout>
        </c:title>
        <c:numFmt formatCode="General" sourceLinked="1"/>
        <c:tickLblPos val="nextTo"/>
        <c:spPr>
          <a:ln w="9525">
            <a:solidFill>
              <a:sysClr val="windowText" lastClr="000000"/>
            </a:solidFill>
          </a:ln>
        </c:spPr>
        <c:crossAx val="58743808"/>
        <c:crosses val="autoZero"/>
        <c:auto val="1"/>
        <c:lblAlgn val="ctr"/>
        <c:lblOffset val="100"/>
      </c:catAx>
      <c:valAx>
        <c:axId val="58743808"/>
        <c:scaling>
          <c:orientation val="minMax"/>
          <c:max val="10"/>
          <c:min val="5"/>
        </c:scaling>
        <c:axPos val="l"/>
        <c:title>
          <c:tx>
            <c:rich>
              <a:bodyPr rot="-5400000" vert="horz"/>
              <a:lstStyle/>
              <a:p>
                <a:pPr>
                  <a:defRPr/>
                </a:pPr>
                <a:r>
                  <a:rPr lang="en-US"/>
                  <a:t>log UFC/ml</a:t>
                </a:r>
              </a:p>
            </c:rich>
          </c:tx>
          <c:layout/>
        </c:title>
        <c:numFmt formatCode="General" sourceLinked="1"/>
        <c:tickLblPos val="nextTo"/>
        <c:spPr>
          <a:ln w="9525">
            <a:solidFill>
              <a:sysClr val="windowText" lastClr="000000"/>
            </a:solidFill>
          </a:ln>
        </c:spPr>
        <c:crossAx val="58741504"/>
        <c:crosses val="autoZero"/>
        <c:crossBetween val="midCat"/>
        <c:majorUnit val="0.5"/>
      </c:valAx>
    </c:plotArea>
    <c:plotVisOnly val="1"/>
    <c:dispBlanksAs val="gap"/>
  </c:chart>
  <c:spPr>
    <a:ln>
      <a:solidFill>
        <a:schemeClr val="bg1"/>
      </a:solidFill>
    </a:ln>
  </c:spPr>
  <c:txPr>
    <a:bodyPr/>
    <a:lstStyle/>
    <a:p>
      <a:pPr>
        <a:defRPr b="1">
          <a:latin typeface="Times New Roman" pitchFamily="18" charset="0"/>
          <a:cs typeface="Times New Roman" pitchFamily="18" charset="0"/>
        </a:defRPr>
      </a:pPr>
      <a:endParaRPr lang="fr-FR"/>
    </a:p>
  </c:txPr>
  <c:externalData r:id="rId1"/>
  <c:userShapes r:id="rId2"/>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fr-FR"/>
  <c:chart>
    <c:title>
      <c:tx>
        <c:rich>
          <a:bodyPr/>
          <a:lstStyle/>
          <a:p>
            <a:pPr>
              <a:defRPr/>
            </a:pPr>
            <a:r>
              <a:rPr lang="fr-FR" sz="1800"/>
              <a:t>B</a:t>
            </a:r>
          </a:p>
        </c:rich>
      </c:tx>
      <c:layout>
        <c:manualLayout>
          <c:xMode val="edge"/>
          <c:yMode val="edge"/>
          <c:x val="4.3798959577353623E-3"/>
          <c:y val="0"/>
        </c:manualLayout>
      </c:layout>
      <c:spPr>
        <a:solidFill>
          <a:sysClr val="window" lastClr="FFFFFF">
            <a:lumMod val="85000"/>
          </a:sysClr>
        </a:solidFill>
        <a:scene3d>
          <a:camera prst="orthographicFront"/>
          <a:lightRig rig="threePt" dir="t"/>
        </a:scene3d>
        <a:sp3d>
          <a:bevelT w="190500" h="38100"/>
        </a:sp3d>
      </c:spPr>
    </c:title>
    <c:plotArea>
      <c:layout>
        <c:manualLayout>
          <c:layoutTarget val="inner"/>
          <c:xMode val="edge"/>
          <c:yMode val="edge"/>
          <c:x val="0.24773191911422432"/>
          <c:y val="0.10194897637795275"/>
          <c:w val="0.6738643402222535"/>
          <c:h val="0.64338477690288765"/>
        </c:manualLayout>
      </c:layout>
      <c:lineChart>
        <c:grouping val="standard"/>
        <c:ser>
          <c:idx val="0"/>
          <c:order val="0"/>
          <c:tx>
            <c:strRef>
              <c:f>Sheet1!$B$12</c:f>
              <c:strCache>
                <c:ptCount val="1"/>
                <c:pt idx="0">
                  <c:v>1 (Temoin)</c:v>
                </c:pt>
              </c:strCache>
            </c:strRef>
          </c:tx>
          <c:spPr>
            <a:ln w="12700"/>
          </c:spPr>
          <c:errBars>
            <c:errDir val="y"/>
            <c:errBarType val="both"/>
            <c:errValType val="cust"/>
            <c:plus>
              <c:numRef>
                <c:f>Sheet2!$I$22:$I$25</c:f>
                <c:numCache>
                  <c:formatCode>General</c:formatCode>
                  <c:ptCount val="4"/>
                  <c:pt idx="0">
                    <c:v>3.2000000000000042E-2</c:v>
                  </c:pt>
                  <c:pt idx="1">
                    <c:v>2.1000000000000012E-2</c:v>
                  </c:pt>
                  <c:pt idx="2">
                    <c:v>3.7999999999999999E-2</c:v>
                  </c:pt>
                  <c:pt idx="3">
                    <c:v>2.5000000000000001E-2</c:v>
                  </c:pt>
                </c:numCache>
              </c:numRef>
            </c:plus>
            <c:minus>
              <c:numRef>
                <c:f>Sheet2!$I$22:$I$25</c:f>
                <c:numCache>
                  <c:formatCode>General</c:formatCode>
                  <c:ptCount val="4"/>
                  <c:pt idx="0">
                    <c:v>3.2000000000000042E-2</c:v>
                  </c:pt>
                  <c:pt idx="1">
                    <c:v>2.1000000000000012E-2</c:v>
                  </c:pt>
                  <c:pt idx="2">
                    <c:v>3.7999999999999999E-2</c:v>
                  </c:pt>
                  <c:pt idx="3">
                    <c:v>2.5000000000000001E-2</c:v>
                  </c:pt>
                </c:numCache>
              </c:numRef>
            </c:minus>
          </c:errBars>
          <c:cat>
            <c:strRef>
              <c:f>Sheet1!$A$13:$A$16</c:f>
              <c:strCache>
                <c:ptCount val="4"/>
                <c:pt idx="0">
                  <c:v>T0</c:v>
                </c:pt>
                <c:pt idx="1">
                  <c:v>T1</c:v>
                </c:pt>
                <c:pt idx="2">
                  <c:v>T2</c:v>
                </c:pt>
                <c:pt idx="3">
                  <c:v>T3</c:v>
                </c:pt>
              </c:strCache>
            </c:strRef>
          </c:cat>
          <c:val>
            <c:numRef>
              <c:f>Sheet1!$B$13:$B$16</c:f>
              <c:numCache>
                <c:formatCode>General</c:formatCode>
                <c:ptCount val="4"/>
                <c:pt idx="0">
                  <c:v>5.99</c:v>
                </c:pt>
                <c:pt idx="1">
                  <c:v>7</c:v>
                </c:pt>
                <c:pt idx="2">
                  <c:v>7.42</c:v>
                </c:pt>
                <c:pt idx="3">
                  <c:v>8.2100000000000009</c:v>
                </c:pt>
              </c:numCache>
            </c:numRef>
          </c:val>
        </c:ser>
        <c:ser>
          <c:idx val="1"/>
          <c:order val="1"/>
          <c:tx>
            <c:strRef>
              <c:f>Sheet1!$C$12</c:f>
              <c:strCache>
                <c:ptCount val="1"/>
                <c:pt idx="0">
                  <c:v>2 (Lactoserum)</c:v>
                </c:pt>
              </c:strCache>
            </c:strRef>
          </c:tx>
          <c:spPr>
            <a:ln w="12700">
              <a:solidFill>
                <a:srgbClr val="FF9900"/>
              </a:solidFill>
            </a:ln>
          </c:spPr>
          <c:marker>
            <c:spPr>
              <a:solidFill>
                <a:srgbClr val="FF9900"/>
              </a:solidFill>
              <a:ln>
                <a:solidFill>
                  <a:srgbClr val="FF9900"/>
                </a:solidFill>
              </a:ln>
            </c:spPr>
          </c:marker>
          <c:errBars>
            <c:errDir val="y"/>
            <c:errBarType val="both"/>
            <c:errValType val="cust"/>
            <c:plus>
              <c:numRef>
                <c:f>Sheet1!$I$14:$M$14</c:f>
                <c:numCache>
                  <c:formatCode>General</c:formatCode>
                  <c:ptCount val="5"/>
                  <c:pt idx="0">
                    <c:v>2.1000000000000012E-2</c:v>
                  </c:pt>
                  <c:pt idx="1">
                    <c:v>4.3000000000000003E-2</c:v>
                  </c:pt>
                  <c:pt idx="2">
                    <c:v>3.500000000000001E-2</c:v>
                  </c:pt>
                  <c:pt idx="3">
                    <c:v>4.0000000000000022E-2</c:v>
                  </c:pt>
                  <c:pt idx="4">
                    <c:v>3.7999999999999999E-2</c:v>
                  </c:pt>
                </c:numCache>
              </c:numRef>
            </c:plus>
            <c:minus>
              <c:numRef>
                <c:f>Sheet1!$I$14:$M$14</c:f>
                <c:numCache>
                  <c:formatCode>General</c:formatCode>
                  <c:ptCount val="5"/>
                  <c:pt idx="0">
                    <c:v>2.1000000000000012E-2</c:v>
                  </c:pt>
                  <c:pt idx="1">
                    <c:v>4.3000000000000003E-2</c:v>
                  </c:pt>
                  <c:pt idx="2">
                    <c:v>3.500000000000001E-2</c:v>
                  </c:pt>
                  <c:pt idx="3">
                    <c:v>4.0000000000000022E-2</c:v>
                  </c:pt>
                  <c:pt idx="4">
                    <c:v>3.7999999999999999E-2</c:v>
                  </c:pt>
                </c:numCache>
              </c:numRef>
            </c:minus>
          </c:errBars>
          <c:cat>
            <c:strRef>
              <c:f>Sheet1!$A$13:$A$16</c:f>
              <c:strCache>
                <c:ptCount val="4"/>
                <c:pt idx="0">
                  <c:v>T0</c:v>
                </c:pt>
                <c:pt idx="1">
                  <c:v>T1</c:v>
                </c:pt>
                <c:pt idx="2">
                  <c:v>T2</c:v>
                </c:pt>
                <c:pt idx="3">
                  <c:v>T3</c:v>
                </c:pt>
              </c:strCache>
            </c:strRef>
          </c:cat>
          <c:val>
            <c:numRef>
              <c:f>Sheet1!$C$13:$C$16</c:f>
              <c:numCache>
                <c:formatCode>General</c:formatCode>
                <c:ptCount val="4"/>
                <c:pt idx="0">
                  <c:v>5.98</c:v>
                </c:pt>
                <c:pt idx="1">
                  <c:v>7.2700000000000014</c:v>
                </c:pt>
                <c:pt idx="2">
                  <c:v>8.42</c:v>
                </c:pt>
                <c:pt idx="3">
                  <c:v>9.3800000000000008</c:v>
                </c:pt>
              </c:numCache>
            </c:numRef>
          </c:val>
        </c:ser>
        <c:ser>
          <c:idx val="2"/>
          <c:order val="2"/>
          <c:tx>
            <c:strRef>
              <c:f>Sheet1!$D$12</c:f>
              <c:strCache>
                <c:ptCount val="1"/>
                <c:pt idx="0">
                  <c:v>3 (Promilk)</c:v>
                </c:pt>
              </c:strCache>
            </c:strRef>
          </c:tx>
          <c:spPr>
            <a:ln w="12700">
              <a:solidFill>
                <a:srgbClr val="92D050"/>
              </a:solidFill>
            </a:ln>
          </c:spPr>
          <c:marker>
            <c:spPr>
              <a:solidFill>
                <a:srgbClr val="92D050"/>
              </a:solidFill>
              <a:ln>
                <a:solidFill>
                  <a:srgbClr val="92D050"/>
                </a:solidFill>
              </a:ln>
            </c:spPr>
          </c:marker>
          <c:errBars>
            <c:errDir val="y"/>
            <c:errBarType val="both"/>
            <c:errValType val="cust"/>
            <c:plus>
              <c:numRef>
                <c:f>Sheet1!$I$15:$M$15</c:f>
                <c:numCache>
                  <c:formatCode>General</c:formatCode>
                  <c:ptCount val="5"/>
                  <c:pt idx="0">
                    <c:v>3.7999999999999999E-2</c:v>
                  </c:pt>
                  <c:pt idx="1">
                    <c:v>3.1000000000000052E-2</c:v>
                  </c:pt>
                  <c:pt idx="2">
                    <c:v>2.5000000000000001E-2</c:v>
                  </c:pt>
                  <c:pt idx="3">
                    <c:v>5.1999999999999998E-2</c:v>
                  </c:pt>
                  <c:pt idx="4">
                    <c:v>2.3E-2</c:v>
                  </c:pt>
                </c:numCache>
              </c:numRef>
            </c:plus>
            <c:minus>
              <c:numRef>
                <c:f>Sheet1!$I$15:$M$15</c:f>
                <c:numCache>
                  <c:formatCode>General</c:formatCode>
                  <c:ptCount val="5"/>
                  <c:pt idx="0">
                    <c:v>3.7999999999999999E-2</c:v>
                  </c:pt>
                  <c:pt idx="1">
                    <c:v>3.1000000000000052E-2</c:v>
                  </c:pt>
                  <c:pt idx="2">
                    <c:v>2.5000000000000001E-2</c:v>
                  </c:pt>
                  <c:pt idx="3">
                    <c:v>5.1999999999999998E-2</c:v>
                  </c:pt>
                  <c:pt idx="4">
                    <c:v>2.3E-2</c:v>
                  </c:pt>
                </c:numCache>
              </c:numRef>
            </c:minus>
          </c:errBars>
          <c:cat>
            <c:strRef>
              <c:f>Sheet1!$A$13:$A$16</c:f>
              <c:strCache>
                <c:ptCount val="4"/>
                <c:pt idx="0">
                  <c:v>T0</c:v>
                </c:pt>
                <c:pt idx="1">
                  <c:v>T1</c:v>
                </c:pt>
                <c:pt idx="2">
                  <c:v>T2</c:v>
                </c:pt>
                <c:pt idx="3">
                  <c:v>T3</c:v>
                </c:pt>
              </c:strCache>
            </c:strRef>
          </c:cat>
          <c:val>
            <c:numRef>
              <c:f>Sheet1!$D$13:$D$16</c:f>
              <c:numCache>
                <c:formatCode>General</c:formatCode>
                <c:ptCount val="4"/>
                <c:pt idx="0">
                  <c:v>5.99</c:v>
                </c:pt>
                <c:pt idx="1">
                  <c:v>7.1</c:v>
                </c:pt>
                <c:pt idx="2">
                  <c:v>7.88</c:v>
                </c:pt>
                <c:pt idx="3">
                  <c:v>8.5</c:v>
                </c:pt>
              </c:numCache>
            </c:numRef>
          </c:val>
        </c:ser>
        <c:ser>
          <c:idx val="3"/>
          <c:order val="3"/>
          <c:tx>
            <c:strRef>
              <c:f>Sheet1!$E$12</c:f>
              <c:strCache>
                <c:ptCount val="1"/>
                <c:pt idx="0">
                  <c:v>4 (H. Caseine)</c:v>
                </c:pt>
              </c:strCache>
            </c:strRef>
          </c:tx>
          <c:spPr>
            <a:ln w="12700">
              <a:solidFill>
                <a:srgbClr val="990099"/>
              </a:solidFill>
            </a:ln>
          </c:spPr>
          <c:marker>
            <c:spPr>
              <a:solidFill>
                <a:srgbClr val="990099"/>
              </a:solidFill>
              <a:ln>
                <a:solidFill>
                  <a:srgbClr val="990099"/>
                </a:solidFill>
              </a:ln>
            </c:spPr>
          </c:marker>
          <c:errBars>
            <c:errDir val="y"/>
            <c:errBarType val="both"/>
            <c:errValType val="cust"/>
            <c:plus>
              <c:numRef>
                <c:f>Sheet1!$I$16:$M$16</c:f>
                <c:numCache>
                  <c:formatCode>General</c:formatCode>
                  <c:ptCount val="5"/>
                  <c:pt idx="0">
                    <c:v>2.5000000000000001E-2</c:v>
                  </c:pt>
                  <c:pt idx="1">
                    <c:v>2.4E-2</c:v>
                  </c:pt>
                  <c:pt idx="2">
                    <c:v>4.5000000000000012E-2</c:v>
                  </c:pt>
                  <c:pt idx="3">
                    <c:v>5.5000000000000014E-2</c:v>
                  </c:pt>
                  <c:pt idx="4">
                    <c:v>2.9000000000000001E-2</c:v>
                  </c:pt>
                </c:numCache>
              </c:numRef>
            </c:plus>
            <c:minus>
              <c:numRef>
                <c:f>Sheet1!$I$16:$M$16</c:f>
                <c:numCache>
                  <c:formatCode>General</c:formatCode>
                  <c:ptCount val="5"/>
                  <c:pt idx="0">
                    <c:v>2.5000000000000001E-2</c:v>
                  </c:pt>
                  <c:pt idx="1">
                    <c:v>2.4E-2</c:v>
                  </c:pt>
                  <c:pt idx="2">
                    <c:v>4.5000000000000012E-2</c:v>
                  </c:pt>
                  <c:pt idx="3">
                    <c:v>5.5000000000000014E-2</c:v>
                  </c:pt>
                  <c:pt idx="4">
                    <c:v>2.9000000000000001E-2</c:v>
                  </c:pt>
                </c:numCache>
              </c:numRef>
            </c:minus>
          </c:errBars>
          <c:cat>
            <c:strRef>
              <c:f>Sheet1!$A$13:$A$16</c:f>
              <c:strCache>
                <c:ptCount val="4"/>
                <c:pt idx="0">
                  <c:v>T0</c:v>
                </c:pt>
                <c:pt idx="1">
                  <c:v>T1</c:v>
                </c:pt>
                <c:pt idx="2">
                  <c:v>T2</c:v>
                </c:pt>
                <c:pt idx="3">
                  <c:v>T3</c:v>
                </c:pt>
              </c:strCache>
            </c:strRef>
          </c:cat>
          <c:val>
            <c:numRef>
              <c:f>Sheet1!$E$13:$E$16</c:f>
              <c:numCache>
                <c:formatCode>General</c:formatCode>
                <c:ptCount val="4"/>
                <c:pt idx="0">
                  <c:v>5.98</c:v>
                </c:pt>
                <c:pt idx="1">
                  <c:v>7.17</c:v>
                </c:pt>
                <c:pt idx="2">
                  <c:v>8.11</c:v>
                </c:pt>
                <c:pt idx="3">
                  <c:v>8.9700000000000006</c:v>
                </c:pt>
              </c:numCache>
            </c:numRef>
          </c:val>
        </c:ser>
        <c:ser>
          <c:idx val="4"/>
          <c:order val="4"/>
          <c:tx>
            <c:strRef>
              <c:f>Sheet1!$F$12</c:f>
              <c:strCache>
                <c:ptCount val="1"/>
                <c:pt idx="0">
                  <c:v>5 (H. Proteine)</c:v>
                </c:pt>
              </c:strCache>
            </c:strRef>
          </c:tx>
          <c:spPr>
            <a:ln w="12700">
              <a:solidFill>
                <a:srgbClr val="FF33CC"/>
              </a:solidFill>
            </a:ln>
          </c:spPr>
          <c:marker>
            <c:symbol val="circle"/>
            <c:size val="4"/>
            <c:spPr>
              <a:solidFill>
                <a:srgbClr val="FF33CC"/>
              </a:solidFill>
              <a:ln>
                <a:solidFill>
                  <a:srgbClr val="FF33CC"/>
                </a:solidFill>
              </a:ln>
            </c:spPr>
          </c:marker>
          <c:cat>
            <c:strRef>
              <c:f>Sheet1!$A$13:$A$16</c:f>
              <c:strCache>
                <c:ptCount val="4"/>
                <c:pt idx="0">
                  <c:v>T0</c:v>
                </c:pt>
                <c:pt idx="1">
                  <c:v>T1</c:v>
                </c:pt>
                <c:pt idx="2">
                  <c:v>T2</c:v>
                </c:pt>
                <c:pt idx="3">
                  <c:v>T3</c:v>
                </c:pt>
              </c:strCache>
            </c:strRef>
          </c:cat>
          <c:val>
            <c:numRef>
              <c:f>Sheet1!$F$13:$F$16</c:f>
              <c:numCache>
                <c:formatCode>General</c:formatCode>
                <c:ptCount val="4"/>
                <c:pt idx="0">
                  <c:v>5.98</c:v>
                </c:pt>
                <c:pt idx="1">
                  <c:v>7.31</c:v>
                </c:pt>
                <c:pt idx="2">
                  <c:v>8.3800000000000008</c:v>
                </c:pt>
                <c:pt idx="3">
                  <c:v>9.32</c:v>
                </c:pt>
              </c:numCache>
            </c:numRef>
          </c:val>
        </c:ser>
        <c:marker val="1"/>
        <c:axId val="58772480"/>
        <c:axId val="58783232"/>
      </c:lineChart>
      <c:catAx>
        <c:axId val="58772480"/>
        <c:scaling>
          <c:orientation val="minMax"/>
        </c:scaling>
        <c:axPos val="b"/>
        <c:title>
          <c:tx>
            <c:rich>
              <a:bodyPr/>
              <a:lstStyle/>
              <a:p>
                <a:pPr>
                  <a:defRPr sz="1000" b="1" i="0" u="none" strike="noStrike" baseline="0">
                    <a:solidFill>
                      <a:srgbClr val="000000"/>
                    </a:solidFill>
                    <a:latin typeface="Times New Roman"/>
                    <a:ea typeface="Times New Roman"/>
                    <a:cs typeface="Times New Roman"/>
                  </a:defRPr>
                </a:pPr>
                <a:r>
                  <a:rPr lang="fr-FR"/>
                  <a:t>Temps (h)</a:t>
                </a:r>
              </a:p>
            </c:rich>
          </c:tx>
          <c:layout>
            <c:manualLayout>
              <c:xMode val="edge"/>
              <c:yMode val="edge"/>
              <c:x val="0.41479424326457931"/>
              <c:y val="0.88826162729658864"/>
            </c:manualLayout>
          </c:layout>
        </c:title>
        <c:numFmt formatCode="General" sourceLinked="1"/>
        <c:tickLblPos val="nextTo"/>
        <c:spPr>
          <a:ln w="9525">
            <a:solidFill>
              <a:sysClr val="windowText" lastClr="000000"/>
            </a:solidFill>
          </a:ln>
        </c:spPr>
        <c:txPr>
          <a:bodyPr rot="0" vert="horz"/>
          <a:lstStyle/>
          <a:p>
            <a:pPr>
              <a:defRPr sz="1000" b="1" i="0" u="none" strike="noStrike" baseline="0">
                <a:solidFill>
                  <a:srgbClr val="000000"/>
                </a:solidFill>
                <a:latin typeface="Times New Roman"/>
                <a:ea typeface="Times New Roman"/>
                <a:cs typeface="Times New Roman"/>
              </a:defRPr>
            </a:pPr>
            <a:endParaRPr lang="fr-FR"/>
          </a:p>
        </c:txPr>
        <c:crossAx val="58783232"/>
        <c:crosses val="autoZero"/>
        <c:auto val="1"/>
        <c:lblAlgn val="ctr"/>
        <c:lblOffset val="100"/>
      </c:catAx>
      <c:valAx>
        <c:axId val="58783232"/>
        <c:scaling>
          <c:orientation val="minMax"/>
          <c:max val="9.5"/>
          <c:min val="5.5"/>
        </c:scaling>
        <c:axPos val="l"/>
        <c:title>
          <c:tx>
            <c:rich>
              <a:bodyPr/>
              <a:lstStyle/>
              <a:p>
                <a:pPr>
                  <a:defRPr sz="1000" b="1" i="0" u="none" strike="noStrike" baseline="0">
                    <a:solidFill>
                      <a:srgbClr val="000000"/>
                    </a:solidFill>
                    <a:latin typeface="Times New Roman"/>
                    <a:ea typeface="Times New Roman"/>
                    <a:cs typeface="Times New Roman"/>
                  </a:defRPr>
                </a:pPr>
                <a:r>
                  <a:rPr lang="fr-FR"/>
                  <a:t>log UFC/ml</a:t>
                </a:r>
              </a:p>
            </c:rich>
          </c:tx>
          <c:layout/>
        </c:title>
        <c:numFmt formatCode="General" sourceLinked="1"/>
        <c:tickLblPos val="nextTo"/>
        <c:spPr>
          <a:ln w="9525">
            <a:solidFill>
              <a:schemeClr val="tx1"/>
            </a:solidFill>
          </a:ln>
        </c:spPr>
        <c:txPr>
          <a:bodyPr rot="0" vert="horz"/>
          <a:lstStyle/>
          <a:p>
            <a:pPr>
              <a:defRPr sz="1000" b="1" i="0" u="none" strike="noStrike" baseline="0">
                <a:solidFill>
                  <a:srgbClr val="000000"/>
                </a:solidFill>
                <a:latin typeface="Times New Roman"/>
                <a:ea typeface="Times New Roman"/>
                <a:cs typeface="Times New Roman"/>
              </a:defRPr>
            </a:pPr>
            <a:endParaRPr lang="fr-FR"/>
          </a:p>
        </c:txPr>
        <c:crossAx val="58772480"/>
        <c:crosses val="autoZero"/>
        <c:crossBetween val="midCat"/>
        <c:majorUnit val="0.5"/>
      </c:valAx>
    </c:plotArea>
    <c:plotVisOnly val="1"/>
    <c:dispBlanksAs val="gap"/>
  </c:chart>
  <c:spPr>
    <a:ln>
      <a:solidFill>
        <a:schemeClr val="bg1"/>
      </a:solidFill>
    </a:ln>
  </c:spPr>
  <c:txPr>
    <a:bodyPr/>
    <a:lstStyle/>
    <a:p>
      <a:pPr>
        <a:defRPr sz="1000" b="1" i="0" u="none" strike="noStrike" baseline="0">
          <a:solidFill>
            <a:srgbClr val="000000"/>
          </a:solidFill>
          <a:latin typeface="Times New Roman"/>
          <a:ea typeface="Times New Roman"/>
          <a:cs typeface="Times New Roman"/>
        </a:defRPr>
      </a:pPr>
      <a:endParaRPr lang="fr-FR"/>
    </a:p>
  </c:txPr>
  <c:externalData r:id="rId1"/>
  <c:userShapes r:id="rId2"/>
</c:chartSpace>
</file>

<file path=word/drawings/_rels/drawing23.xml.rels><?xml version="1.0" encoding="UTF-8" standalone="yes"?>
<Relationships xmlns="http://schemas.openxmlformats.org/package/2006/relationships"><Relationship Id="rId1" Type="http://schemas.openxmlformats.org/officeDocument/2006/relationships/image" Target="../media/image1.png"/></Relationships>
</file>

<file path=word/drawings/_rels/drawing30.xml.rels><?xml version="1.0" encoding="UTF-8" standalone="yes"?>
<Relationships xmlns="http://schemas.openxmlformats.org/package/2006/relationships"><Relationship Id="rId1" Type="http://schemas.openxmlformats.org/officeDocument/2006/relationships/image" Target="../media/image1.png"/></Relationships>
</file>

<file path=word/drawings/_rels/drawing34.xml.rels><?xml version="1.0" encoding="UTF-8" standalone="yes"?>
<Relationships xmlns="http://schemas.openxmlformats.org/package/2006/relationships"><Relationship Id="rId1" Type="http://schemas.openxmlformats.org/officeDocument/2006/relationships/image" Target="../media/image1.png"/></Relationships>
</file>

<file path=word/drawings/drawing1.xml><?xml version="1.0" encoding="utf-8"?>
<c:userShapes xmlns:c="http://schemas.openxmlformats.org/drawingml/2006/chart">
  <cdr:relSizeAnchor xmlns:cdr="http://schemas.openxmlformats.org/drawingml/2006/chartDrawing">
    <cdr:from>
      <cdr:x>0.12969</cdr:x>
      <cdr:y>0</cdr:y>
    </cdr:from>
    <cdr:to>
      <cdr:x>0.95904</cdr:x>
      <cdr:y>0.15095</cdr:y>
    </cdr:to>
    <cdr:sp macro="" textlink="">
      <cdr:nvSpPr>
        <cdr:cNvPr id="3" name="ZoneTexte 2"/>
        <cdr:cNvSpPr txBox="1"/>
      </cdr:nvSpPr>
      <cdr:spPr>
        <a:xfrm xmlns:a="http://schemas.openxmlformats.org/drawingml/2006/main">
          <a:off x="361950" y="0"/>
          <a:ext cx="2314575" cy="333375"/>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marL="0" marR="0" indent="0" algn="ctr" defTabSz="914400" rtl="0" eaLnBrk="1" fontAlgn="auto" latinLnBrk="0" hangingPunct="1">
            <a:lnSpc>
              <a:spcPct val="100000"/>
            </a:lnSpc>
            <a:spcBef>
              <a:spcPts val="0"/>
            </a:spcBef>
            <a:spcAft>
              <a:spcPts val="0"/>
            </a:spcAft>
            <a:buClrTx/>
            <a:buSzTx/>
            <a:buFontTx/>
            <a:buNone/>
            <a:tabLst/>
            <a:defRPr/>
          </a:pPr>
          <a:r>
            <a:rPr lang="en-US" sz="1100" b="0">
              <a:latin typeface="Times New Roman" pitchFamily="18" charset="0"/>
              <a:cs typeface="Times New Roman" pitchFamily="18" charset="0"/>
            </a:rPr>
            <a:t>Biomasse </a:t>
          </a:r>
          <a:r>
            <a:rPr lang="en-US" sz="1100" b="1">
              <a:latin typeface="Times New Roman" pitchFamily="18" charset="0"/>
              <a:cs typeface="Times New Roman" pitchFamily="18" charset="0"/>
            </a:rPr>
            <a:t>Bb12</a:t>
          </a:r>
          <a:r>
            <a:rPr lang="en-US" sz="1100" b="0">
              <a:latin typeface="Times New Roman" pitchFamily="18" charset="0"/>
              <a:cs typeface="Times New Roman" pitchFamily="18" charset="0"/>
            </a:rPr>
            <a:t> (+St)</a:t>
          </a:r>
          <a:endParaRPr lang="fr-FR" sz="1100">
            <a:latin typeface="Times New Roman" pitchFamily="18" charset="0"/>
            <a:cs typeface="Times New Roman" pitchFamily="18" charset="0"/>
          </a:endParaRPr>
        </a:p>
      </cdr:txBody>
    </cdr:sp>
  </cdr:relSizeAnchor>
</c:userShapes>
</file>

<file path=word/drawings/drawing10.xml><?xml version="1.0" encoding="utf-8"?>
<c:userShapes xmlns:c="http://schemas.openxmlformats.org/drawingml/2006/chart">
  <cdr:relSizeAnchor xmlns:cdr="http://schemas.openxmlformats.org/drawingml/2006/chartDrawing">
    <cdr:from>
      <cdr:x>0.19565</cdr:x>
      <cdr:y>0</cdr:y>
    </cdr:from>
    <cdr:to>
      <cdr:x>0.97826</cdr:x>
      <cdr:y>0.11986</cdr:y>
    </cdr:to>
    <cdr:sp macro="" textlink="">
      <cdr:nvSpPr>
        <cdr:cNvPr id="3" name="ZoneTexte 2"/>
        <cdr:cNvSpPr txBox="1"/>
      </cdr:nvSpPr>
      <cdr:spPr>
        <a:xfrm xmlns:a="http://schemas.openxmlformats.org/drawingml/2006/main">
          <a:off x="514350" y="0"/>
          <a:ext cx="2057400" cy="26670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marL="0" marR="0" indent="0" algn="ctr" defTabSz="914400" rtl="0" eaLnBrk="1" fontAlgn="auto" latinLnBrk="0" hangingPunct="1">
            <a:lnSpc>
              <a:spcPct val="100000"/>
            </a:lnSpc>
            <a:spcBef>
              <a:spcPts val="0"/>
            </a:spcBef>
            <a:spcAft>
              <a:spcPts val="0"/>
            </a:spcAft>
            <a:buClrTx/>
            <a:buSzTx/>
            <a:buFontTx/>
            <a:buNone/>
            <a:tabLst/>
            <a:defRPr/>
          </a:pPr>
          <a:r>
            <a:rPr lang="en-US" sz="1100" b="0">
              <a:latin typeface="Times New Roman" pitchFamily="18" charset="0"/>
              <a:cs typeface="Times New Roman" pitchFamily="18" charset="0"/>
            </a:rPr>
            <a:t>Biomasse </a:t>
          </a:r>
          <a:r>
            <a:rPr lang="en-US" sz="1100" b="1">
              <a:latin typeface="Times New Roman" pitchFamily="18" charset="0"/>
              <a:cs typeface="Times New Roman" pitchFamily="18" charset="0"/>
            </a:rPr>
            <a:t>St</a:t>
          </a:r>
          <a:r>
            <a:rPr lang="en-US" sz="1100" b="0">
              <a:latin typeface="Times New Roman" pitchFamily="18" charset="0"/>
              <a:cs typeface="Times New Roman" pitchFamily="18" charset="0"/>
            </a:rPr>
            <a:t> (+ BLR)</a:t>
          </a:r>
        </a:p>
        <a:p xmlns:a="http://schemas.openxmlformats.org/drawingml/2006/main">
          <a:endParaRPr lang="fr-FR" sz="1100"/>
        </a:p>
      </cdr:txBody>
    </cdr:sp>
  </cdr:relSizeAnchor>
</c:userShapes>
</file>

<file path=word/drawings/drawing11.xml><?xml version="1.0" encoding="utf-8"?>
<c:userShapes xmlns:c="http://schemas.openxmlformats.org/drawingml/2006/chart">
  <cdr:relSizeAnchor xmlns:cdr="http://schemas.openxmlformats.org/drawingml/2006/chartDrawing">
    <cdr:from>
      <cdr:x>0.19862</cdr:x>
      <cdr:y>0.01986</cdr:y>
    </cdr:from>
    <cdr:to>
      <cdr:x>0.90647</cdr:x>
      <cdr:y>0.13507</cdr:y>
    </cdr:to>
    <cdr:sp macro="" textlink="">
      <cdr:nvSpPr>
        <cdr:cNvPr id="3" name="ZoneTexte 2"/>
        <cdr:cNvSpPr txBox="1"/>
      </cdr:nvSpPr>
      <cdr:spPr>
        <a:xfrm xmlns:a="http://schemas.openxmlformats.org/drawingml/2006/main">
          <a:off x="495300" y="44845"/>
          <a:ext cx="1765114" cy="260148"/>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marL="0" marR="0" indent="0" algn="ctr" defTabSz="914400" rtl="0" eaLnBrk="1" fontAlgn="auto" latinLnBrk="0" hangingPunct="1">
            <a:lnSpc>
              <a:spcPct val="100000"/>
            </a:lnSpc>
            <a:spcBef>
              <a:spcPts val="0"/>
            </a:spcBef>
            <a:spcAft>
              <a:spcPts val="0"/>
            </a:spcAft>
            <a:buClrTx/>
            <a:buSzTx/>
            <a:buFontTx/>
            <a:buNone/>
            <a:tabLst/>
            <a:defRPr/>
          </a:pPr>
          <a:r>
            <a:rPr lang="en-US" sz="1200" b="1">
              <a:latin typeface="Times New Roman" pitchFamily="18" charset="0"/>
              <a:cs typeface="Times New Roman" pitchFamily="18" charset="0"/>
            </a:rPr>
            <a:t>Lba CECT4529 + St</a:t>
          </a:r>
        </a:p>
        <a:p xmlns:a="http://schemas.openxmlformats.org/drawingml/2006/main">
          <a:endParaRPr lang="fr-FR" sz="1100"/>
        </a:p>
      </cdr:txBody>
    </cdr:sp>
  </cdr:relSizeAnchor>
</c:userShapes>
</file>

<file path=word/drawings/drawing12.xml><?xml version="1.0" encoding="utf-8"?>
<c:userShapes xmlns:c="http://schemas.openxmlformats.org/drawingml/2006/chart">
  <cdr:relSizeAnchor xmlns:cdr="http://schemas.openxmlformats.org/drawingml/2006/chartDrawing">
    <cdr:from>
      <cdr:x>0.25675</cdr:x>
      <cdr:y>0.03239</cdr:y>
    </cdr:from>
    <cdr:to>
      <cdr:x>1</cdr:x>
      <cdr:y>0.15789</cdr:y>
    </cdr:to>
    <cdr:sp macro="" textlink="">
      <cdr:nvSpPr>
        <cdr:cNvPr id="3" name="ZoneTexte 2"/>
        <cdr:cNvSpPr txBox="1"/>
      </cdr:nvSpPr>
      <cdr:spPr>
        <a:xfrm xmlns:a="http://schemas.openxmlformats.org/drawingml/2006/main">
          <a:off x="561976" y="74434"/>
          <a:ext cx="1626869" cy="288407"/>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fr-FR" sz="1200" b="1">
              <a:latin typeface="Times New Roman" pitchFamily="18" charset="0"/>
              <a:cs typeface="Times New Roman" pitchFamily="18" charset="0"/>
            </a:rPr>
            <a:t>Lbp CECT748</a:t>
          </a:r>
          <a:r>
            <a:rPr lang="fr-FR" sz="1200" b="1" baseline="0">
              <a:latin typeface="Times New Roman" pitchFamily="18" charset="0"/>
              <a:cs typeface="Times New Roman" pitchFamily="18" charset="0"/>
            </a:rPr>
            <a:t> + St</a:t>
          </a:r>
          <a:endParaRPr lang="fr-FR" sz="1200" b="1">
            <a:latin typeface="Times New Roman" pitchFamily="18" charset="0"/>
            <a:cs typeface="Times New Roman" pitchFamily="18" charset="0"/>
          </a:endParaRPr>
        </a:p>
      </cdr:txBody>
    </cdr:sp>
  </cdr:relSizeAnchor>
</c:userShapes>
</file>

<file path=word/drawings/drawing13.xml><?xml version="1.0" encoding="utf-8"?>
<c:userShapes xmlns:c="http://schemas.openxmlformats.org/drawingml/2006/chart">
  <cdr:relSizeAnchor xmlns:cdr="http://schemas.openxmlformats.org/drawingml/2006/chartDrawing">
    <cdr:from>
      <cdr:x>0.42086</cdr:x>
      <cdr:y>0</cdr:y>
    </cdr:from>
    <cdr:to>
      <cdr:x>0.84173</cdr:x>
      <cdr:y>0.1611</cdr:y>
    </cdr:to>
    <cdr:sp macro="" textlink="">
      <cdr:nvSpPr>
        <cdr:cNvPr id="3" name="ZoneTexte 2"/>
        <cdr:cNvSpPr txBox="1"/>
      </cdr:nvSpPr>
      <cdr:spPr>
        <a:xfrm xmlns:a="http://schemas.openxmlformats.org/drawingml/2006/main">
          <a:off x="1114426" y="0"/>
          <a:ext cx="1114424" cy="34290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en-US" sz="1200" b="1">
              <a:latin typeface="Times New Roman" pitchFamily="18" charset="0"/>
              <a:cs typeface="Times New Roman" pitchFamily="18" charset="0"/>
            </a:rPr>
            <a:t>Bb12 + St</a:t>
          </a:r>
          <a:endParaRPr lang="fr-FR" sz="1200" b="1">
            <a:latin typeface="Times New Roman" pitchFamily="18" charset="0"/>
            <a:cs typeface="Times New Roman" pitchFamily="18" charset="0"/>
          </a:endParaRPr>
        </a:p>
      </cdr:txBody>
    </cdr:sp>
  </cdr:relSizeAnchor>
</c:userShapes>
</file>

<file path=word/drawings/drawing14.xml><?xml version="1.0" encoding="utf-8"?>
<c:userShapes xmlns:c="http://schemas.openxmlformats.org/drawingml/2006/chart">
  <cdr:relSizeAnchor xmlns:cdr="http://schemas.openxmlformats.org/drawingml/2006/chartDrawing">
    <cdr:from>
      <cdr:x>0.28085</cdr:x>
      <cdr:y>0</cdr:y>
    </cdr:from>
    <cdr:to>
      <cdr:x>0.85791</cdr:x>
      <cdr:y>0.12965</cdr:y>
    </cdr:to>
    <cdr:sp macro="" textlink="">
      <cdr:nvSpPr>
        <cdr:cNvPr id="3" name="ZoneTexte 2"/>
        <cdr:cNvSpPr txBox="1"/>
      </cdr:nvSpPr>
      <cdr:spPr>
        <a:xfrm xmlns:a="http://schemas.openxmlformats.org/drawingml/2006/main">
          <a:off x="676275" y="0"/>
          <a:ext cx="1389504" cy="248465"/>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fr-FR" sz="1200" b="1">
              <a:latin typeface="Times New Roman" pitchFamily="18" charset="0"/>
              <a:cs typeface="Times New Roman" pitchFamily="18" charset="0"/>
            </a:rPr>
            <a:t>LbRE-LSAS + St</a:t>
          </a:r>
        </a:p>
      </cdr:txBody>
    </cdr:sp>
  </cdr:relSizeAnchor>
</c:userShapes>
</file>

<file path=word/drawings/drawing15.xml><?xml version="1.0" encoding="utf-8"?>
<c:userShapes xmlns:c="http://schemas.openxmlformats.org/drawingml/2006/chart">
  <cdr:relSizeAnchor xmlns:cdr="http://schemas.openxmlformats.org/drawingml/2006/chartDrawing">
    <cdr:from>
      <cdr:x>0.47355</cdr:x>
      <cdr:y>0</cdr:y>
    </cdr:from>
    <cdr:to>
      <cdr:x>0.79615</cdr:x>
      <cdr:y>0.14213</cdr:y>
    </cdr:to>
    <cdr:sp macro="" textlink="">
      <cdr:nvSpPr>
        <cdr:cNvPr id="3" name="ZoneTexte 2"/>
        <cdr:cNvSpPr txBox="1"/>
      </cdr:nvSpPr>
      <cdr:spPr>
        <a:xfrm xmlns:a="http://schemas.openxmlformats.org/drawingml/2006/main">
          <a:off x="1172748" y="0"/>
          <a:ext cx="798928" cy="304873"/>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algn="ctr"/>
          <a:r>
            <a:rPr lang="en-US" sz="1100" b="1">
              <a:latin typeface="Times New Roman" pitchFamily="18" charset="0"/>
              <a:cs typeface="Times New Roman" pitchFamily="18" charset="0"/>
            </a:rPr>
            <a:t>BLR + St</a:t>
          </a:r>
          <a:endParaRPr lang="fr-FR" sz="1100" b="1">
            <a:latin typeface="Times New Roman" pitchFamily="18" charset="0"/>
            <a:cs typeface="Times New Roman" pitchFamily="18" charset="0"/>
          </a:endParaRPr>
        </a:p>
      </cdr:txBody>
    </cdr:sp>
  </cdr:relSizeAnchor>
</c:userShapes>
</file>

<file path=word/drawings/drawing16.xml><?xml version="1.0" encoding="utf-8"?>
<c:userShapes xmlns:c="http://schemas.openxmlformats.org/drawingml/2006/chart">
  <cdr:relSizeAnchor xmlns:cdr="http://schemas.openxmlformats.org/drawingml/2006/chartDrawing">
    <cdr:from>
      <cdr:x>0.10014</cdr:x>
      <cdr:y>0</cdr:y>
    </cdr:from>
    <cdr:to>
      <cdr:x>1</cdr:x>
      <cdr:y>0.1386</cdr:y>
    </cdr:to>
    <cdr:sp macro="" textlink="">
      <cdr:nvSpPr>
        <cdr:cNvPr id="3" name="ZoneTexte 2"/>
        <cdr:cNvSpPr txBox="1"/>
      </cdr:nvSpPr>
      <cdr:spPr>
        <a:xfrm xmlns:a="http://schemas.openxmlformats.org/drawingml/2006/main">
          <a:off x="266701" y="0"/>
          <a:ext cx="2396489" cy="333375"/>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marL="0" marR="0" indent="0" algn="ctr" defTabSz="914400" rtl="0" eaLnBrk="1" fontAlgn="auto" latinLnBrk="0" hangingPunct="1">
            <a:lnSpc>
              <a:spcPct val="100000"/>
            </a:lnSpc>
            <a:spcBef>
              <a:spcPts val="0"/>
            </a:spcBef>
            <a:spcAft>
              <a:spcPts val="0"/>
            </a:spcAft>
            <a:buClrTx/>
            <a:buSzTx/>
            <a:buFontTx/>
            <a:buNone/>
            <a:tabLst/>
            <a:defRPr/>
          </a:pPr>
          <a:r>
            <a:rPr lang="fr-FR" sz="1050" b="0">
              <a:latin typeface="Times New Roman" pitchFamily="18" charset="0"/>
              <a:cs typeface="Times New Roman" pitchFamily="18" charset="0"/>
            </a:rPr>
            <a:t>Biomasse </a:t>
          </a:r>
          <a:r>
            <a:rPr lang="fr-FR" sz="1050" b="1">
              <a:latin typeface="Times New Roman" pitchFamily="18" charset="0"/>
              <a:cs typeface="Times New Roman" pitchFamily="18" charset="0"/>
            </a:rPr>
            <a:t>Lba CECT4529</a:t>
          </a:r>
          <a:r>
            <a:rPr lang="fr-FR" sz="1050" b="0">
              <a:latin typeface="Times New Roman" pitchFamily="18" charset="0"/>
              <a:cs typeface="Times New Roman" pitchFamily="18" charset="0"/>
            </a:rPr>
            <a:t> (+St  +  Lb</a:t>
          </a:r>
          <a:r>
            <a:rPr lang="fr-FR" sz="1050" b="0" baseline="-25000">
              <a:latin typeface="Times New Roman" pitchFamily="18" charset="0"/>
              <a:cs typeface="Times New Roman" pitchFamily="18" charset="0"/>
            </a:rPr>
            <a:t>b</a:t>
          </a:r>
          <a:r>
            <a:rPr lang="fr-FR" sz="1050" b="0">
              <a:latin typeface="Times New Roman" pitchFamily="18" charset="0"/>
              <a:cs typeface="Times New Roman" pitchFamily="18" charset="0"/>
            </a:rPr>
            <a:t>)</a:t>
          </a:r>
          <a:endParaRPr lang="fr-FR" sz="1050"/>
        </a:p>
      </cdr:txBody>
    </cdr:sp>
  </cdr:relSizeAnchor>
</c:userShapes>
</file>

<file path=word/drawings/drawing17.xml><?xml version="1.0" encoding="utf-8"?>
<c:userShapes xmlns:c="http://schemas.openxmlformats.org/drawingml/2006/chart">
  <cdr:relSizeAnchor xmlns:cdr="http://schemas.openxmlformats.org/drawingml/2006/chartDrawing">
    <cdr:from>
      <cdr:x>0.65343</cdr:x>
      <cdr:y>0.6129</cdr:y>
    </cdr:from>
    <cdr:to>
      <cdr:x>1</cdr:x>
      <cdr:y>1</cdr:y>
    </cdr:to>
    <cdr:sp macro="" textlink="">
      <cdr:nvSpPr>
        <cdr:cNvPr id="3" name="ZoneTexte 2"/>
        <cdr:cNvSpPr txBox="1"/>
      </cdr:nvSpPr>
      <cdr:spPr>
        <a:xfrm xmlns:a="http://schemas.openxmlformats.org/drawingml/2006/main">
          <a:off x="2228850" y="1447800"/>
          <a:ext cx="914400" cy="914400"/>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endParaRPr lang="fr-FR" sz="1100"/>
        </a:p>
      </cdr:txBody>
    </cdr:sp>
  </cdr:relSizeAnchor>
  <cdr:relSizeAnchor xmlns:cdr="http://schemas.openxmlformats.org/drawingml/2006/chartDrawing">
    <cdr:from>
      <cdr:x>0.09063</cdr:x>
      <cdr:y>0</cdr:y>
    </cdr:from>
    <cdr:to>
      <cdr:x>1</cdr:x>
      <cdr:y>0.12903</cdr:y>
    </cdr:to>
    <cdr:sp macro="" textlink="">
      <cdr:nvSpPr>
        <cdr:cNvPr id="4" name="ZoneTexte 3"/>
        <cdr:cNvSpPr txBox="1"/>
      </cdr:nvSpPr>
      <cdr:spPr>
        <a:xfrm xmlns:a="http://schemas.openxmlformats.org/drawingml/2006/main">
          <a:off x="228601" y="0"/>
          <a:ext cx="2293619" cy="273747"/>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marL="0" marR="0" indent="0" algn="ctr" defTabSz="914400" rtl="0" eaLnBrk="1" fontAlgn="auto" latinLnBrk="0" hangingPunct="1">
            <a:lnSpc>
              <a:spcPct val="100000"/>
            </a:lnSpc>
            <a:spcBef>
              <a:spcPts val="0"/>
            </a:spcBef>
            <a:spcAft>
              <a:spcPts val="0"/>
            </a:spcAft>
            <a:buClrTx/>
            <a:buSzTx/>
            <a:buFontTx/>
            <a:buNone/>
            <a:tabLst/>
            <a:defRPr/>
          </a:pPr>
          <a:r>
            <a:rPr lang="en-US" sz="1100" b="0">
              <a:latin typeface="Times New Roman" pitchFamily="18" charset="0"/>
              <a:cs typeface="Times New Roman" pitchFamily="18" charset="0"/>
            </a:rPr>
            <a:t>Biomasse </a:t>
          </a:r>
          <a:r>
            <a:rPr lang="en-US" sz="1100" b="1">
              <a:latin typeface="Times New Roman" pitchFamily="18" charset="0"/>
              <a:cs typeface="Times New Roman" pitchFamily="18" charset="0"/>
            </a:rPr>
            <a:t>Lbp CECT748</a:t>
          </a:r>
          <a:r>
            <a:rPr lang="en-US" sz="1100" b="0">
              <a:latin typeface="Times New Roman" pitchFamily="18" charset="0"/>
              <a:cs typeface="Times New Roman" pitchFamily="18" charset="0"/>
            </a:rPr>
            <a:t> (St + Lb</a:t>
          </a:r>
          <a:r>
            <a:rPr lang="en-US" sz="1100" b="0" baseline="-25000">
              <a:latin typeface="Times New Roman" pitchFamily="18" charset="0"/>
              <a:cs typeface="Times New Roman" pitchFamily="18" charset="0"/>
            </a:rPr>
            <a:t>b</a:t>
          </a:r>
          <a:r>
            <a:rPr lang="en-US" sz="1100" b="0">
              <a:latin typeface="Times New Roman" pitchFamily="18" charset="0"/>
              <a:cs typeface="Times New Roman" pitchFamily="18" charset="0"/>
            </a:rPr>
            <a:t>)</a:t>
          </a:r>
        </a:p>
        <a:p xmlns:a="http://schemas.openxmlformats.org/drawingml/2006/main">
          <a:endParaRPr lang="fr-FR" sz="1100"/>
        </a:p>
      </cdr:txBody>
    </cdr:sp>
  </cdr:relSizeAnchor>
</c:userShapes>
</file>

<file path=word/drawings/drawing18.xml><?xml version="1.0" encoding="utf-8"?>
<c:userShapes xmlns:c="http://schemas.openxmlformats.org/drawingml/2006/chart">
  <cdr:relSizeAnchor xmlns:cdr="http://schemas.openxmlformats.org/drawingml/2006/chartDrawing">
    <cdr:from>
      <cdr:x>0.17813</cdr:x>
      <cdr:y>0.01908</cdr:y>
    </cdr:from>
    <cdr:to>
      <cdr:x>0.98125</cdr:x>
      <cdr:y>0.13359</cdr:y>
    </cdr:to>
    <cdr:sp macro="" textlink="">
      <cdr:nvSpPr>
        <cdr:cNvPr id="3" name="ZoneTexte 2"/>
        <cdr:cNvSpPr txBox="1"/>
      </cdr:nvSpPr>
      <cdr:spPr>
        <a:xfrm xmlns:a="http://schemas.openxmlformats.org/drawingml/2006/main">
          <a:off x="542925" y="47625"/>
          <a:ext cx="2447925" cy="28575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algn="ctr" rtl="0">
            <a:defRPr sz="1000" b="1" i="0" u="none" strike="noStrike" kern="1200" baseline="0">
              <a:solidFill>
                <a:sysClr val="windowText" lastClr="000000"/>
              </a:solidFill>
              <a:latin typeface="Times New Roman" pitchFamily="18" charset="0"/>
              <a:ea typeface="+mn-ea"/>
              <a:cs typeface="Times New Roman" pitchFamily="18" charset="0"/>
            </a:defRPr>
          </a:pPr>
          <a:r>
            <a:rPr lang="en-US" sz="1100" b="0"/>
            <a:t>Biomasse </a:t>
          </a:r>
          <a:r>
            <a:rPr lang="en-US" sz="1100" b="1"/>
            <a:t>Bb12</a:t>
          </a:r>
          <a:r>
            <a:rPr lang="en-US" sz="1100" b="0"/>
            <a:t> (+St + Lb</a:t>
          </a:r>
          <a:r>
            <a:rPr lang="en-US" sz="1100" b="0" baseline="-25000"/>
            <a:t>b</a:t>
          </a:r>
          <a:r>
            <a:rPr lang="en-US" sz="1100" b="0"/>
            <a:t>)</a:t>
          </a:r>
        </a:p>
      </cdr:txBody>
    </cdr:sp>
  </cdr:relSizeAnchor>
</c:userShapes>
</file>

<file path=word/drawings/drawing19.xml><?xml version="1.0" encoding="utf-8"?>
<c:userShapes xmlns:c="http://schemas.openxmlformats.org/drawingml/2006/chart">
  <cdr:relSizeAnchor xmlns:cdr="http://schemas.openxmlformats.org/drawingml/2006/chartDrawing">
    <cdr:from>
      <cdr:x>0.0931</cdr:x>
      <cdr:y>5.0233E-7</cdr:y>
    </cdr:from>
    <cdr:to>
      <cdr:x>1</cdr:x>
      <cdr:y>0.11483</cdr:y>
    </cdr:to>
    <cdr:sp macro="" textlink="">
      <cdr:nvSpPr>
        <cdr:cNvPr id="3" name="ZoneTexte 2"/>
        <cdr:cNvSpPr txBox="1"/>
      </cdr:nvSpPr>
      <cdr:spPr>
        <a:xfrm xmlns:a="http://schemas.openxmlformats.org/drawingml/2006/main">
          <a:off x="228600" y="1"/>
          <a:ext cx="2226945" cy="22860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marL="0" marR="0" indent="0" algn="ctr" defTabSz="914400" rtl="0" eaLnBrk="1" fontAlgn="auto" latinLnBrk="0" hangingPunct="1">
            <a:lnSpc>
              <a:spcPct val="100000"/>
            </a:lnSpc>
            <a:spcBef>
              <a:spcPts val="0"/>
            </a:spcBef>
            <a:spcAft>
              <a:spcPts val="0"/>
            </a:spcAft>
            <a:buClrTx/>
            <a:buSzTx/>
            <a:buFontTx/>
            <a:buNone/>
            <a:tabLst/>
            <a:defRPr/>
          </a:pPr>
          <a:r>
            <a:rPr lang="en-US" sz="1100" b="0">
              <a:latin typeface="Times New Roman" pitchFamily="18" charset="0"/>
              <a:cs typeface="Times New Roman" pitchFamily="18" charset="0"/>
            </a:rPr>
            <a:t>Biomasse </a:t>
          </a:r>
          <a:r>
            <a:rPr lang="en-US" sz="1100" b="1">
              <a:latin typeface="Times New Roman" pitchFamily="18" charset="0"/>
              <a:cs typeface="Times New Roman" pitchFamily="18" charset="0"/>
            </a:rPr>
            <a:t>LbRE-LSAS</a:t>
          </a:r>
          <a:r>
            <a:rPr lang="en-US" sz="1100" b="0">
              <a:latin typeface="Times New Roman" pitchFamily="18" charset="0"/>
              <a:cs typeface="Times New Roman" pitchFamily="18" charset="0"/>
            </a:rPr>
            <a:t> (+St+Lb</a:t>
          </a:r>
          <a:r>
            <a:rPr lang="en-US" sz="1100" b="0" baseline="-25000">
              <a:latin typeface="Times New Roman" pitchFamily="18" charset="0"/>
              <a:cs typeface="Times New Roman" pitchFamily="18" charset="0"/>
            </a:rPr>
            <a:t>b</a:t>
          </a:r>
          <a:r>
            <a:rPr lang="en-US" sz="1100" b="0">
              <a:latin typeface="Times New Roman" pitchFamily="18" charset="0"/>
              <a:cs typeface="Times New Roman" pitchFamily="18" charset="0"/>
            </a:rPr>
            <a:t>)</a:t>
          </a:r>
        </a:p>
        <a:p xmlns:a="http://schemas.openxmlformats.org/drawingml/2006/main">
          <a:endParaRPr lang="fr-FR" sz="1100"/>
        </a:p>
      </cdr:txBody>
    </cdr:sp>
  </cdr:relSizeAnchor>
</c:userShapes>
</file>

<file path=word/drawings/drawing2.xml><?xml version="1.0" encoding="utf-8"?>
<c:userShapes xmlns:c="http://schemas.openxmlformats.org/drawingml/2006/chart">
  <cdr:relSizeAnchor xmlns:cdr="http://schemas.openxmlformats.org/drawingml/2006/chartDrawing">
    <cdr:from>
      <cdr:x>0.13188</cdr:x>
      <cdr:y>0</cdr:y>
    </cdr:from>
    <cdr:to>
      <cdr:x>0.97524</cdr:x>
      <cdr:y>0.1236</cdr:y>
    </cdr:to>
    <cdr:sp macro="" textlink="">
      <cdr:nvSpPr>
        <cdr:cNvPr id="3" name="ZoneTexte 2"/>
        <cdr:cNvSpPr txBox="1"/>
      </cdr:nvSpPr>
      <cdr:spPr>
        <a:xfrm xmlns:a="http://schemas.openxmlformats.org/drawingml/2006/main">
          <a:off x="361950" y="0"/>
          <a:ext cx="2314575" cy="314325"/>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marL="0" marR="0" indent="0" algn="ctr" defTabSz="914400" rtl="0" eaLnBrk="1" fontAlgn="auto" latinLnBrk="0" hangingPunct="1">
            <a:lnSpc>
              <a:spcPct val="100000"/>
            </a:lnSpc>
            <a:spcBef>
              <a:spcPts val="0"/>
            </a:spcBef>
            <a:spcAft>
              <a:spcPts val="0"/>
            </a:spcAft>
            <a:buClrTx/>
            <a:buSzTx/>
            <a:buFontTx/>
            <a:buNone/>
            <a:tabLst/>
            <a:defRPr/>
          </a:pPr>
          <a:r>
            <a:rPr lang="en-US" sz="1100" b="0">
              <a:latin typeface="Times New Roman" pitchFamily="18" charset="0"/>
              <a:cs typeface="Times New Roman" pitchFamily="18" charset="0"/>
            </a:rPr>
            <a:t>Biomasse </a:t>
          </a:r>
          <a:r>
            <a:rPr lang="en-US" sz="1100" b="1">
              <a:latin typeface="Times New Roman" pitchFamily="18" charset="0"/>
              <a:cs typeface="Times New Roman" pitchFamily="18" charset="0"/>
            </a:rPr>
            <a:t>Lbp CECT748</a:t>
          </a:r>
          <a:r>
            <a:rPr lang="en-US" sz="1100" b="0">
              <a:latin typeface="Times New Roman" pitchFamily="18" charset="0"/>
              <a:cs typeface="Times New Roman" pitchFamily="18" charset="0"/>
            </a:rPr>
            <a:t> (+St)</a:t>
          </a:r>
        </a:p>
        <a:p xmlns:a="http://schemas.openxmlformats.org/drawingml/2006/main">
          <a:endParaRPr lang="fr-FR" sz="1100"/>
        </a:p>
      </cdr:txBody>
    </cdr:sp>
  </cdr:relSizeAnchor>
</c:userShapes>
</file>

<file path=word/drawings/drawing20.xml><?xml version="1.0" encoding="utf-8"?>
<c:userShapes xmlns:c="http://schemas.openxmlformats.org/drawingml/2006/chart">
  <cdr:relSizeAnchor xmlns:cdr="http://schemas.openxmlformats.org/drawingml/2006/chartDrawing">
    <cdr:from>
      <cdr:x>0.24328</cdr:x>
      <cdr:y>0</cdr:y>
    </cdr:from>
    <cdr:to>
      <cdr:x>0.98402</cdr:x>
      <cdr:y>0.12508</cdr:y>
    </cdr:to>
    <cdr:sp macro="" textlink="">
      <cdr:nvSpPr>
        <cdr:cNvPr id="3" name="ZoneTexte 2"/>
        <cdr:cNvSpPr txBox="1"/>
      </cdr:nvSpPr>
      <cdr:spPr>
        <a:xfrm xmlns:a="http://schemas.openxmlformats.org/drawingml/2006/main">
          <a:off x="638177" y="0"/>
          <a:ext cx="1943098" cy="257181"/>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marL="0" marR="0" indent="0" algn="ctr" defTabSz="914400" rtl="0" eaLnBrk="1" fontAlgn="auto" latinLnBrk="0" hangingPunct="1">
            <a:lnSpc>
              <a:spcPct val="100000"/>
            </a:lnSpc>
            <a:spcBef>
              <a:spcPts val="0"/>
            </a:spcBef>
            <a:spcAft>
              <a:spcPts val="0"/>
            </a:spcAft>
            <a:buClrTx/>
            <a:buSzTx/>
            <a:buFontTx/>
            <a:buNone/>
            <a:tabLst/>
            <a:defRPr/>
          </a:pPr>
          <a:r>
            <a:rPr lang="fr-FR" sz="1100" b="0">
              <a:latin typeface="Times New Roman" pitchFamily="18" charset="0"/>
              <a:cs typeface="Times New Roman" pitchFamily="18" charset="0"/>
            </a:rPr>
            <a:t>Biomasse </a:t>
          </a:r>
          <a:r>
            <a:rPr lang="fr-FR" sz="1100" b="1">
              <a:latin typeface="Times New Roman" pitchFamily="18" charset="0"/>
              <a:cs typeface="Times New Roman" pitchFamily="18" charset="0"/>
            </a:rPr>
            <a:t>BLR</a:t>
          </a:r>
          <a:r>
            <a:rPr lang="fr-FR" sz="1100" b="0">
              <a:latin typeface="Times New Roman" pitchFamily="18" charset="0"/>
              <a:cs typeface="Times New Roman" pitchFamily="18" charset="0"/>
            </a:rPr>
            <a:t> (+St + Lb</a:t>
          </a:r>
          <a:r>
            <a:rPr lang="fr-FR" sz="1100" b="0" baseline="-25000">
              <a:latin typeface="Times New Roman" pitchFamily="18" charset="0"/>
              <a:cs typeface="Times New Roman" pitchFamily="18" charset="0"/>
            </a:rPr>
            <a:t>b</a:t>
          </a:r>
          <a:r>
            <a:rPr lang="fr-FR" sz="1100" b="0">
              <a:latin typeface="Times New Roman" pitchFamily="18" charset="0"/>
              <a:cs typeface="Times New Roman" pitchFamily="18" charset="0"/>
            </a:rPr>
            <a:t>)</a:t>
          </a:r>
        </a:p>
        <a:p xmlns:a="http://schemas.openxmlformats.org/drawingml/2006/main">
          <a:endParaRPr lang="fr-FR" sz="1100"/>
        </a:p>
      </cdr:txBody>
    </cdr:sp>
  </cdr:relSizeAnchor>
</c:userShapes>
</file>

<file path=word/drawings/drawing21.xml><?xml version="1.0" encoding="utf-8"?>
<c:userShapes xmlns:c="http://schemas.openxmlformats.org/drawingml/2006/chart">
  <cdr:relSizeAnchor xmlns:cdr="http://schemas.openxmlformats.org/drawingml/2006/chartDrawing">
    <cdr:from>
      <cdr:x>0.10473</cdr:x>
      <cdr:y>0</cdr:y>
    </cdr:from>
    <cdr:to>
      <cdr:x>1</cdr:x>
      <cdr:y>0.14052</cdr:y>
    </cdr:to>
    <cdr:sp macro="" textlink="">
      <cdr:nvSpPr>
        <cdr:cNvPr id="3" name="ZoneTexte 2"/>
        <cdr:cNvSpPr txBox="1"/>
      </cdr:nvSpPr>
      <cdr:spPr>
        <a:xfrm xmlns:a="http://schemas.openxmlformats.org/drawingml/2006/main">
          <a:off x="295275" y="0"/>
          <a:ext cx="2524125" cy="333375"/>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marL="0" marR="0" indent="0" algn="ctr" defTabSz="914400" rtl="0" eaLnBrk="1" fontAlgn="auto" latinLnBrk="0" hangingPunct="1">
            <a:lnSpc>
              <a:spcPct val="100000"/>
            </a:lnSpc>
            <a:spcBef>
              <a:spcPts val="0"/>
            </a:spcBef>
            <a:spcAft>
              <a:spcPts val="0"/>
            </a:spcAft>
            <a:buClrTx/>
            <a:buSzTx/>
            <a:buFontTx/>
            <a:buNone/>
            <a:tabLst/>
            <a:defRPr/>
          </a:pPr>
          <a:r>
            <a:rPr lang="fr-FR" sz="1050" b="0">
              <a:latin typeface="Times New Roman" pitchFamily="18" charset="0"/>
              <a:cs typeface="Times New Roman" pitchFamily="18" charset="0"/>
            </a:rPr>
            <a:t>Biomasse </a:t>
          </a:r>
          <a:r>
            <a:rPr lang="fr-FR" sz="1050" b="1">
              <a:latin typeface="Times New Roman" pitchFamily="18" charset="0"/>
              <a:cs typeface="Times New Roman" pitchFamily="18" charset="0"/>
            </a:rPr>
            <a:t>St</a:t>
          </a:r>
          <a:r>
            <a:rPr lang="fr-FR" sz="1050" b="0">
              <a:latin typeface="Times New Roman" pitchFamily="18" charset="0"/>
              <a:cs typeface="Times New Roman" pitchFamily="18" charset="0"/>
            </a:rPr>
            <a:t> (+Lba CECT4529 + Lb</a:t>
          </a:r>
          <a:r>
            <a:rPr lang="fr-FR" sz="1050" b="0" baseline="-25000">
              <a:latin typeface="Times New Roman" pitchFamily="18" charset="0"/>
              <a:cs typeface="Times New Roman" pitchFamily="18" charset="0"/>
            </a:rPr>
            <a:t>b</a:t>
          </a:r>
          <a:r>
            <a:rPr lang="fr-FR" sz="1050" b="0">
              <a:latin typeface="Times New Roman" pitchFamily="18" charset="0"/>
              <a:cs typeface="Times New Roman" pitchFamily="18" charset="0"/>
            </a:rPr>
            <a:t>)</a:t>
          </a:r>
        </a:p>
        <a:p xmlns:a="http://schemas.openxmlformats.org/drawingml/2006/main">
          <a:endParaRPr lang="fr-FR" sz="1100"/>
        </a:p>
      </cdr:txBody>
    </cdr:sp>
  </cdr:relSizeAnchor>
</c:userShapes>
</file>

<file path=word/drawings/drawing22.xml><?xml version="1.0" encoding="utf-8"?>
<c:userShapes xmlns:c="http://schemas.openxmlformats.org/drawingml/2006/chart">
  <cdr:relSizeAnchor xmlns:cdr="http://schemas.openxmlformats.org/drawingml/2006/chartDrawing">
    <cdr:from>
      <cdr:x>0.10949</cdr:x>
      <cdr:y>0</cdr:y>
    </cdr:from>
    <cdr:to>
      <cdr:x>1</cdr:x>
      <cdr:y>0.128</cdr:y>
    </cdr:to>
    <cdr:sp macro="" textlink="">
      <cdr:nvSpPr>
        <cdr:cNvPr id="3" name="ZoneTexte 2"/>
        <cdr:cNvSpPr txBox="1"/>
      </cdr:nvSpPr>
      <cdr:spPr>
        <a:xfrm xmlns:a="http://schemas.openxmlformats.org/drawingml/2006/main">
          <a:off x="285750" y="0"/>
          <a:ext cx="2324100" cy="30480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marL="0" marR="0" indent="0" algn="ctr" defTabSz="914400" rtl="0" eaLnBrk="1" fontAlgn="auto" latinLnBrk="0" hangingPunct="1">
            <a:lnSpc>
              <a:spcPct val="100000"/>
            </a:lnSpc>
            <a:spcBef>
              <a:spcPts val="0"/>
            </a:spcBef>
            <a:spcAft>
              <a:spcPts val="0"/>
            </a:spcAft>
            <a:buClrTx/>
            <a:buSzTx/>
            <a:buFontTx/>
            <a:buNone/>
            <a:tabLst/>
            <a:defRPr/>
          </a:pPr>
          <a:r>
            <a:rPr lang="en-US" sz="1100" b="0">
              <a:latin typeface="Times New Roman" pitchFamily="18" charset="0"/>
              <a:cs typeface="Times New Roman" pitchFamily="18" charset="0"/>
            </a:rPr>
            <a:t>Biomasse </a:t>
          </a:r>
          <a:r>
            <a:rPr lang="en-US" sz="1100" b="1">
              <a:latin typeface="Times New Roman" pitchFamily="18" charset="0"/>
              <a:cs typeface="Times New Roman" pitchFamily="18" charset="0"/>
            </a:rPr>
            <a:t>St</a:t>
          </a:r>
          <a:r>
            <a:rPr lang="en-US" sz="1100" b="0">
              <a:latin typeface="Times New Roman" pitchFamily="18" charset="0"/>
              <a:cs typeface="Times New Roman" pitchFamily="18" charset="0"/>
            </a:rPr>
            <a:t> (+LbpCECT748 + Lb</a:t>
          </a:r>
          <a:r>
            <a:rPr lang="fr-FR" sz="1100" b="0" baseline="-25000">
              <a:latin typeface="Times New Roman" pitchFamily="18" charset="0"/>
              <a:cs typeface="Times New Roman" pitchFamily="18" charset="0"/>
            </a:rPr>
            <a:t>b</a:t>
          </a:r>
          <a:r>
            <a:rPr lang="en-US" sz="1100" b="0">
              <a:latin typeface="Times New Roman" pitchFamily="18" charset="0"/>
              <a:cs typeface="Times New Roman" pitchFamily="18" charset="0"/>
            </a:rPr>
            <a:t>)</a:t>
          </a:r>
        </a:p>
        <a:p xmlns:a="http://schemas.openxmlformats.org/drawingml/2006/main">
          <a:endParaRPr lang="fr-FR" sz="1100"/>
        </a:p>
      </cdr:txBody>
    </cdr:sp>
  </cdr:relSizeAnchor>
</c:userShapes>
</file>

<file path=word/drawings/drawing23.xml><?xml version="1.0" encoding="utf-8"?>
<c:userShapes xmlns:c="http://schemas.openxmlformats.org/drawingml/2006/chart">
  <cdr:relSizeAnchor xmlns:cdr="http://schemas.openxmlformats.org/drawingml/2006/chartDrawing">
    <cdr:from>
      <cdr:x>0</cdr:x>
      <cdr:y>0</cdr:y>
    </cdr:from>
    <cdr:to>
      <cdr:x>0.01008</cdr:x>
      <cdr:y>0.01024</cdr:y>
    </cdr:to>
    <cdr:pic>
      <cdr:nvPicPr>
        <cdr:cNvPr id="2" name="chart"/>
        <cdr:cNvPicPr>
          <a:picLocks xmlns:a="http://schemas.openxmlformats.org/drawingml/2006/main" noChangeAspect="1"/>
        </cdr:cNvPicPr>
      </cdr:nvPicPr>
      <cdr:blipFill>
        <a:blip xmlns:a="http://schemas.openxmlformats.org/drawingml/2006/main" xmlns:r="http://schemas.openxmlformats.org/officeDocument/2006/relationships" r:embed="rId1"/>
        <a:stretch xmlns:a="http://schemas.openxmlformats.org/drawingml/2006/main">
          <a:fillRect/>
        </a:stretch>
      </cdr:blipFill>
      <cdr:spPr>
        <a:xfrm xmlns:a="http://schemas.openxmlformats.org/drawingml/2006/main">
          <a:off x="0" y="0"/>
          <a:ext cx="24386" cy="24386"/>
        </a:xfrm>
        <a:prstGeom xmlns:a="http://schemas.openxmlformats.org/drawingml/2006/main" prst="rect">
          <a:avLst/>
        </a:prstGeom>
      </cdr:spPr>
    </cdr:pic>
  </cdr:relSizeAnchor>
  <cdr:relSizeAnchor xmlns:cdr="http://schemas.openxmlformats.org/drawingml/2006/chartDrawing">
    <cdr:from>
      <cdr:x>0.0315</cdr:x>
      <cdr:y>0.84701</cdr:y>
    </cdr:from>
    <cdr:to>
      <cdr:x>0.34252</cdr:x>
      <cdr:y>1</cdr:y>
    </cdr:to>
    <cdr:sp macro="" textlink="">
      <cdr:nvSpPr>
        <cdr:cNvPr id="3" name="ZoneTexte 2"/>
        <cdr:cNvSpPr txBox="1"/>
      </cdr:nvSpPr>
      <cdr:spPr>
        <a:xfrm xmlns:a="http://schemas.openxmlformats.org/drawingml/2006/main">
          <a:off x="76200" y="2190750"/>
          <a:ext cx="752475" cy="390525"/>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endParaRPr lang="fr-FR" sz="1100"/>
        </a:p>
      </cdr:txBody>
    </cdr:sp>
  </cdr:relSizeAnchor>
  <cdr:relSizeAnchor xmlns:cdr="http://schemas.openxmlformats.org/drawingml/2006/chartDrawing">
    <cdr:from>
      <cdr:x>0.22222</cdr:x>
      <cdr:y>0</cdr:y>
    </cdr:from>
    <cdr:to>
      <cdr:x>0.98148</cdr:x>
      <cdr:y>0.12048</cdr:y>
    </cdr:to>
    <cdr:sp macro="" textlink="">
      <cdr:nvSpPr>
        <cdr:cNvPr id="5" name="ZoneTexte 4"/>
        <cdr:cNvSpPr txBox="1"/>
      </cdr:nvSpPr>
      <cdr:spPr>
        <a:xfrm xmlns:a="http://schemas.openxmlformats.org/drawingml/2006/main">
          <a:off x="571499" y="0"/>
          <a:ext cx="1952625" cy="28575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en-US" sz="1100" b="0">
              <a:latin typeface="Times New Roman" pitchFamily="18" charset="0"/>
              <a:cs typeface="Times New Roman" pitchFamily="18" charset="0"/>
            </a:rPr>
            <a:t>Biomasse </a:t>
          </a:r>
          <a:r>
            <a:rPr lang="en-US" sz="1100" b="1">
              <a:latin typeface="Times New Roman" pitchFamily="18" charset="0"/>
              <a:cs typeface="Times New Roman" pitchFamily="18" charset="0"/>
            </a:rPr>
            <a:t>St</a:t>
          </a:r>
          <a:r>
            <a:rPr lang="en-US" sz="1100" b="0">
              <a:latin typeface="Times New Roman" pitchFamily="18" charset="0"/>
              <a:cs typeface="Times New Roman" pitchFamily="18" charset="0"/>
            </a:rPr>
            <a:t> (+Bb12 + Lb</a:t>
          </a:r>
          <a:r>
            <a:rPr lang="fr-FR" sz="1100" b="0" baseline="-25000">
              <a:latin typeface="Times New Roman" pitchFamily="18" charset="0"/>
              <a:cs typeface="Times New Roman" pitchFamily="18" charset="0"/>
            </a:rPr>
            <a:t>b</a:t>
          </a:r>
          <a:r>
            <a:rPr lang="en-US" sz="1100" b="0">
              <a:latin typeface="Times New Roman" pitchFamily="18" charset="0"/>
              <a:cs typeface="Times New Roman" pitchFamily="18" charset="0"/>
            </a:rPr>
            <a:t>)</a:t>
          </a:r>
          <a:endParaRPr lang="fr-FR" sz="1100"/>
        </a:p>
      </cdr:txBody>
    </cdr:sp>
  </cdr:relSizeAnchor>
</c:userShapes>
</file>

<file path=word/drawings/drawing24.xml><?xml version="1.0" encoding="utf-8"?>
<c:userShapes xmlns:c="http://schemas.openxmlformats.org/drawingml/2006/chart">
  <cdr:relSizeAnchor xmlns:cdr="http://schemas.openxmlformats.org/drawingml/2006/chartDrawing">
    <cdr:from>
      <cdr:x>0.12201</cdr:x>
      <cdr:y>0.0098</cdr:y>
    </cdr:from>
    <cdr:to>
      <cdr:x>1</cdr:x>
      <cdr:y>0.10294</cdr:y>
    </cdr:to>
    <cdr:sp macro="" textlink="">
      <cdr:nvSpPr>
        <cdr:cNvPr id="3" name="ZoneTexte 2"/>
        <cdr:cNvSpPr txBox="1"/>
      </cdr:nvSpPr>
      <cdr:spPr>
        <a:xfrm xmlns:a="http://schemas.openxmlformats.org/drawingml/2006/main">
          <a:off x="304801" y="19051"/>
          <a:ext cx="2193289" cy="180974"/>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marL="0" marR="0" indent="0" algn="ctr" defTabSz="914400" rtl="0" eaLnBrk="1" fontAlgn="auto" latinLnBrk="0" hangingPunct="1">
            <a:lnSpc>
              <a:spcPct val="100000"/>
            </a:lnSpc>
            <a:spcBef>
              <a:spcPts val="0"/>
            </a:spcBef>
            <a:spcAft>
              <a:spcPts val="0"/>
            </a:spcAft>
            <a:buClrTx/>
            <a:buSzTx/>
            <a:buFontTx/>
            <a:buNone/>
            <a:tabLst/>
            <a:defRPr/>
          </a:pPr>
          <a:r>
            <a:rPr lang="en-US" sz="1050" b="0">
              <a:latin typeface="Times New Roman" pitchFamily="18" charset="0"/>
              <a:cs typeface="Times New Roman" pitchFamily="18" charset="0"/>
            </a:rPr>
            <a:t>Biomasse </a:t>
          </a:r>
          <a:r>
            <a:rPr lang="en-US" sz="1050" b="1">
              <a:latin typeface="Times New Roman" pitchFamily="18" charset="0"/>
              <a:cs typeface="Times New Roman" pitchFamily="18" charset="0"/>
            </a:rPr>
            <a:t>St</a:t>
          </a:r>
          <a:r>
            <a:rPr lang="en-US" sz="1050" b="0">
              <a:latin typeface="Times New Roman" pitchFamily="18" charset="0"/>
              <a:cs typeface="Times New Roman" pitchFamily="18" charset="0"/>
            </a:rPr>
            <a:t> (+LbRE-LSAS + Lb</a:t>
          </a:r>
          <a:r>
            <a:rPr lang="fr-FR" sz="1050" b="0" baseline="-25000">
              <a:latin typeface="Times New Roman" pitchFamily="18" charset="0"/>
              <a:cs typeface="Times New Roman" pitchFamily="18" charset="0"/>
            </a:rPr>
            <a:t>b</a:t>
          </a:r>
          <a:r>
            <a:rPr lang="en-US" sz="1050" b="0">
              <a:latin typeface="Times New Roman" pitchFamily="18" charset="0"/>
              <a:cs typeface="Times New Roman" pitchFamily="18" charset="0"/>
            </a:rPr>
            <a:t>)</a:t>
          </a:r>
        </a:p>
        <a:p xmlns:a="http://schemas.openxmlformats.org/drawingml/2006/main">
          <a:endParaRPr lang="fr-FR" sz="1100"/>
        </a:p>
      </cdr:txBody>
    </cdr:sp>
  </cdr:relSizeAnchor>
</c:userShapes>
</file>

<file path=word/drawings/drawing25.xml><?xml version="1.0" encoding="utf-8"?>
<c:userShapes xmlns:c="http://schemas.openxmlformats.org/drawingml/2006/chart">
  <cdr:relSizeAnchor xmlns:cdr="http://schemas.openxmlformats.org/drawingml/2006/chartDrawing">
    <cdr:from>
      <cdr:x>0.02198</cdr:x>
      <cdr:y>0.0307</cdr:y>
    </cdr:from>
    <cdr:to>
      <cdr:x>0.08791</cdr:x>
      <cdr:y>0.11403</cdr:y>
    </cdr:to>
    <cdr:sp macro="" textlink="">
      <cdr:nvSpPr>
        <cdr:cNvPr id="3" name="ZoneTexte 2"/>
        <cdr:cNvSpPr txBox="1"/>
      </cdr:nvSpPr>
      <cdr:spPr>
        <a:xfrm xmlns:a="http://schemas.openxmlformats.org/drawingml/2006/main">
          <a:off x="57150" y="66674"/>
          <a:ext cx="171449" cy="180975"/>
        </a:xfrm>
        <a:prstGeom xmlns:a="http://schemas.openxmlformats.org/drawingml/2006/main" prst="rect">
          <a:avLst/>
        </a:prstGeom>
      </cdr:spPr>
      <cdr:txBody>
        <a:bodyPr xmlns:a="http://schemas.openxmlformats.org/drawingml/2006/main" wrap="square" rtlCol="0" anchor="ctr"/>
        <a:lstStyle xmlns:a="http://schemas.openxmlformats.org/drawingml/2006/main"/>
        <a:p xmlns:a="http://schemas.openxmlformats.org/drawingml/2006/main">
          <a:pPr algn="l"/>
          <a:endParaRPr lang="fr-FR" sz="1400" b="0">
            <a:latin typeface="Times New Roman" pitchFamily="18" charset="0"/>
            <a:cs typeface="Times New Roman" pitchFamily="18" charset="0"/>
          </a:endParaRPr>
        </a:p>
      </cdr:txBody>
    </cdr:sp>
  </cdr:relSizeAnchor>
  <cdr:relSizeAnchor xmlns:cdr="http://schemas.openxmlformats.org/drawingml/2006/chartDrawing">
    <cdr:from>
      <cdr:x>0.27601</cdr:x>
      <cdr:y>0</cdr:y>
    </cdr:from>
    <cdr:to>
      <cdr:x>1</cdr:x>
      <cdr:y>0.11708</cdr:y>
    </cdr:to>
    <cdr:sp macro="" textlink="">
      <cdr:nvSpPr>
        <cdr:cNvPr id="5" name="ZoneTexte 4"/>
        <cdr:cNvSpPr txBox="1"/>
      </cdr:nvSpPr>
      <cdr:spPr>
        <a:xfrm xmlns:a="http://schemas.openxmlformats.org/drawingml/2006/main">
          <a:off x="735976" y="0"/>
          <a:ext cx="1873874" cy="23813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fr-FR" sz="1100" b="0">
              <a:latin typeface="Times New Roman" pitchFamily="18" charset="0"/>
              <a:cs typeface="Times New Roman" pitchFamily="18" charset="0"/>
            </a:rPr>
            <a:t>Biomasse </a:t>
          </a:r>
          <a:r>
            <a:rPr lang="fr-FR" sz="1100" b="1">
              <a:latin typeface="Times New Roman" pitchFamily="18" charset="0"/>
              <a:cs typeface="Times New Roman" pitchFamily="18" charset="0"/>
            </a:rPr>
            <a:t>St</a:t>
          </a:r>
          <a:r>
            <a:rPr lang="fr-FR" sz="1100" b="0">
              <a:latin typeface="Times New Roman" pitchFamily="18" charset="0"/>
              <a:cs typeface="Times New Roman" pitchFamily="18" charset="0"/>
            </a:rPr>
            <a:t> (+ BLR + Lb</a:t>
          </a:r>
          <a:r>
            <a:rPr lang="fr-FR" sz="1100" b="0" baseline="-25000">
              <a:latin typeface="Times New Roman" pitchFamily="18" charset="0"/>
              <a:cs typeface="Times New Roman" pitchFamily="18" charset="0"/>
            </a:rPr>
            <a:t>b</a:t>
          </a:r>
          <a:r>
            <a:rPr lang="fr-FR" sz="1100" b="0">
              <a:latin typeface="Times New Roman" pitchFamily="18" charset="0"/>
              <a:cs typeface="Times New Roman" pitchFamily="18" charset="0"/>
            </a:rPr>
            <a:t>)</a:t>
          </a:r>
          <a:endParaRPr lang="fr-FR" sz="1100">
            <a:latin typeface="Times New Roman" pitchFamily="18" charset="0"/>
            <a:cs typeface="Times New Roman" pitchFamily="18" charset="0"/>
          </a:endParaRPr>
        </a:p>
      </cdr:txBody>
    </cdr:sp>
  </cdr:relSizeAnchor>
</c:userShapes>
</file>

<file path=word/drawings/drawing26.xml><?xml version="1.0" encoding="utf-8"?>
<c:userShapes xmlns:c="http://schemas.openxmlformats.org/drawingml/2006/chart">
  <cdr:relSizeAnchor xmlns:cdr="http://schemas.openxmlformats.org/drawingml/2006/chartDrawing">
    <cdr:from>
      <cdr:x>0.13524</cdr:x>
      <cdr:y>0</cdr:y>
    </cdr:from>
    <cdr:to>
      <cdr:x>1</cdr:x>
      <cdr:y>0.13169</cdr:y>
    </cdr:to>
    <cdr:sp macro="" textlink="">
      <cdr:nvSpPr>
        <cdr:cNvPr id="3" name="ZoneTexte 2"/>
        <cdr:cNvSpPr txBox="1"/>
      </cdr:nvSpPr>
      <cdr:spPr>
        <a:xfrm xmlns:a="http://schemas.openxmlformats.org/drawingml/2006/main">
          <a:off x="333375" y="0"/>
          <a:ext cx="2131695" cy="264667"/>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marL="0" marR="0" indent="0" algn="l" defTabSz="914400" rtl="0" eaLnBrk="1" fontAlgn="auto" latinLnBrk="0" hangingPunct="1">
            <a:lnSpc>
              <a:spcPct val="100000"/>
            </a:lnSpc>
            <a:spcBef>
              <a:spcPts val="0"/>
            </a:spcBef>
            <a:spcAft>
              <a:spcPts val="0"/>
            </a:spcAft>
            <a:buClrTx/>
            <a:buSzTx/>
            <a:buFontTx/>
            <a:buNone/>
            <a:tabLst/>
            <a:defRPr/>
          </a:pPr>
          <a:r>
            <a:rPr lang="fr-FR" sz="1000" b="0">
              <a:latin typeface="Times New Roman" pitchFamily="18" charset="0"/>
              <a:cs typeface="Times New Roman" pitchFamily="18" charset="0"/>
            </a:rPr>
            <a:t>Biomasse </a:t>
          </a:r>
          <a:r>
            <a:rPr lang="fr-FR" sz="1000" b="1">
              <a:latin typeface="Times New Roman" pitchFamily="18" charset="0"/>
              <a:cs typeface="Times New Roman" pitchFamily="18" charset="0"/>
            </a:rPr>
            <a:t>Lb</a:t>
          </a:r>
          <a:r>
            <a:rPr lang="fr-FR" sz="1000" b="1" baseline="-25000">
              <a:latin typeface="Times New Roman" pitchFamily="18" charset="0"/>
              <a:cs typeface="Times New Roman" pitchFamily="18" charset="0"/>
            </a:rPr>
            <a:t>b</a:t>
          </a:r>
          <a:r>
            <a:rPr lang="fr-FR" sz="1000" b="0">
              <a:latin typeface="Times New Roman" pitchFamily="18" charset="0"/>
              <a:cs typeface="Times New Roman" pitchFamily="18" charset="0"/>
            </a:rPr>
            <a:t> (+Lba CECT4529 +St)</a:t>
          </a:r>
        </a:p>
        <a:p xmlns:a="http://schemas.openxmlformats.org/drawingml/2006/main">
          <a:endParaRPr lang="fr-FR" sz="1200"/>
        </a:p>
      </cdr:txBody>
    </cdr:sp>
  </cdr:relSizeAnchor>
</c:userShapes>
</file>

<file path=word/drawings/drawing27.xml><?xml version="1.0" encoding="utf-8"?>
<c:userShapes xmlns:c="http://schemas.openxmlformats.org/drawingml/2006/chart">
  <cdr:relSizeAnchor xmlns:cdr="http://schemas.openxmlformats.org/drawingml/2006/chartDrawing">
    <cdr:from>
      <cdr:x>0.09575</cdr:x>
      <cdr:y>0</cdr:y>
    </cdr:from>
    <cdr:to>
      <cdr:x>1</cdr:x>
      <cdr:y>0.12851</cdr:y>
    </cdr:to>
    <cdr:sp macro="" textlink="">
      <cdr:nvSpPr>
        <cdr:cNvPr id="3" name="ZoneTexte 2"/>
        <cdr:cNvSpPr txBox="1"/>
      </cdr:nvSpPr>
      <cdr:spPr>
        <a:xfrm xmlns:a="http://schemas.openxmlformats.org/drawingml/2006/main">
          <a:off x="257176" y="0"/>
          <a:ext cx="2428874" cy="30479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marL="0" marR="0" indent="0" algn="ctr" defTabSz="914400" rtl="0" eaLnBrk="1" fontAlgn="auto" latinLnBrk="0" hangingPunct="1">
            <a:lnSpc>
              <a:spcPct val="100000"/>
            </a:lnSpc>
            <a:spcBef>
              <a:spcPts val="0"/>
            </a:spcBef>
            <a:spcAft>
              <a:spcPts val="0"/>
            </a:spcAft>
            <a:buClrTx/>
            <a:buSzTx/>
            <a:buFontTx/>
            <a:buNone/>
            <a:tabLst/>
            <a:defRPr/>
          </a:pPr>
          <a:r>
            <a:rPr lang="en-US" sz="1050" b="0">
              <a:latin typeface="Times New Roman" pitchFamily="18" charset="0"/>
              <a:cs typeface="Times New Roman" pitchFamily="18" charset="0"/>
            </a:rPr>
            <a:t>Biomasse </a:t>
          </a:r>
          <a:r>
            <a:rPr lang="en-US" sz="1050" b="1">
              <a:latin typeface="Times New Roman" pitchFamily="18" charset="0"/>
              <a:cs typeface="Times New Roman" pitchFamily="18" charset="0"/>
            </a:rPr>
            <a:t>Lb</a:t>
          </a:r>
          <a:r>
            <a:rPr lang="en-US" sz="1050" b="1" baseline="-25000">
              <a:latin typeface="Times New Roman" pitchFamily="18" charset="0"/>
              <a:cs typeface="Times New Roman" pitchFamily="18" charset="0"/>
            </a:rPr>
            <a:t>b</a:t>
          </a:r>
          <a:r>
            <a:rPr lang="en-US" sz="1050" b="0">
              <a:latin typeface="Times New Roman" pitchFamily="18" charset="0"/>
              <a:cs typeface="Times New Roman" pitchFamily="18" charset="0"/>
            </a:rPr>
            <a:t> (Lbp CECT748 + St)</a:t>
          </a:r>
          <a:endParaRPr lang="fr-FR" sz="1050"/>
        </a:p>
      </cdr:txBody>
    </cdr:sp>
  </cdr:relSizeAnchor>
</c:userShapes>
</file>

<file path=word/drawings/drawing28.xml><?xml version="1.0" encoding="utf-8"?>
<c:userShapes xmlns:c="http://schemas.openxmlformats.org/drawingml/2006/chart">
  <cdr:relSizeAnchor xmlns:cdr="http://schemas.openxmlformats.org/drawingml/2006/chartDrawing">
    <cdr:from>
      <cdr:x>0.23006</cdr:x>
      <cdr:y>0.0223</cdr:y>
    </cdr:from>
    <cdr:to>
      <cdr:x>0.93558</cdr:x>
      <cdr:y>0.12639</cdr:y>
    </cdr:to>
    <cdr:sp macro="" textlink="">
      <cdr:nvSpPr>
        <cdr:cNvPr id="3" name="ZoneTexte 2"/>
        <cdr:cNvSpPr txBox="1"/>
      </cdr:nvSpPr>
      <cdr:spPr>
        <a:xfrm xmlns:a="http://schemas.openxmlformats.org/drawingml/2006/main">
          <a:off x="714375" y="57150"/>
          <a:ext cx="2190750" cy="26670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marL="0" marR="0" indent="0" algn="ctr" defTabSz="914400" rtl="0" eaLnBrk="1" fontAlgn="auto" latinLnBrk="0" hangingPunct="1">
            <a:lnSpc>
              <a:spcPct val="100000"/>
            </a:lnSpc>
            <a:spcBef>
              <a:spcPts val="0"/>
            </a:spcBef>
            <a:spcAft>
              <a:spcPts val="0"/>
            </a:spcAft>
            <a:buClrTx/>
            <a:buSzTx/>
            <a:buFontTx/>
            <a:buNone/>
            <a:tabLst/>
            <a:defRPr/>
          </a:pPr>
          <a:r>
            <a:rPr lang="fr-FR" sz="1100" b="0">
              <a:latin typeface="Times New Roman" pitchFamily="18" charset="0"/>
              <a:cs typeface="Times New Roman" pitchFamily="18" charset="0"/>
            </a:rPr>
            <a:t>Biomasse </a:t>
          </a:r>
          <a:r>
            <a:rPr lang="fr-FR" sz="1100" b="1">
              <a:latin typeface="Times New Roman" pitchFamily="18" charset="0"/>
              <a:cs typeface="Times New Roman" pitchFamily="18" charset="0"/>
            </a:rPr>
            <a:t>Lb</a:t>
          </a:r>
          <a:r>
            <a:rPr lang="fr-FR" sz="1100" b="1" baseline="-25000">
              <a:latin typeface="Times New Roman" pitchFamily="18" charset="0"/>
              <a:cs typeface="Times New Roman" pitchFamily="18" charset="0"/>
            </a:rPr>
            <a:t>b</a:t>
          </a:r>
          <a:r>
            <a:rPr lang="fr-FR" sz="1100" b="0">
              <a:latin typeface="Times New Roman" pitchFamily="18" charset="0"/>
              <a:cs typeface="Times New Roman" pitchFamily="18" charset="0"/>
            </a:rPr>
            <a:t> (+Bb12 + St)</a:t>
          </a:r>
        </a:p>
        <a:p xmlns:a="http://schemas.openxmlformats.org/drawingml/2006/main">
          <a:endParaRPr lang="fr-FR" sz="1100"/>
        </a:p>
      </cdr:txBody>
    </cdr:sp>
  </cdr:relSizeAnchor>
</c:userShapes>
</file>

<file path=word/drawings/drawing29.xml><?xml version="1.0" encoding="utf-8"?>
<c:userShapes xmlns:c="http://schemas.openxmlformats.org/drawingml/2006/chart">
  <cdr:relSizeAnchor xmlns:cdr="http://schemas.openxmlformats.org/drawingml/2006/chartDrawing">
    <cdr:from>
      <cdr:x>0.1112</cdr:x>
      <cdr:y>0.00893</cdr:y>
    </cdr:from>
    <cdr:to>
      <cdr:x>1</cdr:x>
      <cdr:y>0.14732</cdr:y>
    </cdr:to>
    <cdr:sp macro="" textlink="">
      <cdr:nvSpPr>
        <cdr:cNvPr id="3" name="ZoneTexte 2"/>
        <cdr:cNvSpPr txBox="1"/>
      </cdr:nvSpPr>
      <cdr:spPr>
        <a:xfrm xmlns:a="http://schemas.openxmlformats.org/drawingml/2006/main">
          <a:off x="257175" y="18032"/>
          <a:ext cx="2055495" cy="279451"/>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marL="0" marR="0" indent="0" algn="ctr" defTabSz="914400" rtl="0" eaLnBrk="1" fontAlgn="auto" latinLnBrk="0" hangingPunct="1">
            <a:lnSpc>
              <a:spcPct val="100000"/>
            </a:lnSpc>
            <a:spcBef>
              <a:spcPts val="0"/>
            </a:spcBef>
            <a:spcAft>
              <a:spcPts val="0"/>
            </a:spcAft>
            <a:buClrTx/>
            <a:buSzTx/>
            <a:buFontTx/>
            <a:buNone/>
            <a:tabLst/>
            <a:defRPr/>
          </a:pPr>
          <a:r>
            <a:rPr lang="en-US" sz="1100" b="0">
              <a:latin typeface="Times New Roman" pitchFamily="18" charset="0"/>
              <a:cs typeface="Times New Roman" pitchFamily="18" charset="0"/>
            </a:rPr>
            <a:t>Biomasse </a:t>
          </a:r>
          <a:r>
            <a:rPr lang="en-US" sz="1100" b="1">
              <a:latin typeface="Times New Roman" pitchFamily="18" charset="0"/>
              <a:cs typeface="Times New Roman" pitchFamily="18" charset="0"/>
            </a:rPr>
            <a:t>Lb</a:t>
          </a:r>
          <a:r>
            <a:rPr lang="en-US" sz="1100" b="1" baseline="-25000">
              <a:latin typeface="Times New Roman" pitchFamily="18" charset="0"/>
              <a:cs typeface="Times New Roman" pitchFamily="18" charset="0"/>
            </a:rPr>
            <a:t>b</a:t>
          </a:r>
          <a:r>
            <a:rPr lang="en-US" sz="1100" b="0">
              <a:latin typeface="Times New Roman" pitchFamily="18" charset="0"/>
              <a:cs typeface="Times New Roman" pitchFamily="18" charset="0"/>
            </a:rPr>
            <a:t> (+LbRE-LSAS + St)</a:t>
          </a:r>
        </a:p>
        <a:p xmlns:a="http://schemas.openxmlformats.org/drawingml/2006/main">
          <a:endParaRPr lang="fr-FR" sz="1100"/>
        </a:p>
      </cdr:txBody>
    </cdr:sp>
  </cdr:relSizeAnchor>
</c:userShapes>
</file>

<file path=word/drawings/drawing3.xml><?xml version="1.0" encoding="utf-8"?>
<c:userShapes xmlns:c="http://schemas.openxmlformats.org/drawingml/2006/chart">
  <cdr:relSizeAnchor xmlns:cdr="http://schemas.openxmlformats.org/drawingml/2006/chartDrawing">
    <cdr:from>
      <cdr:x>0.15411</cdr:x>
      <cdr:y>0</cdr:y>
    </cdr:from>
    <cdr:to>
      <cdr:x>0.9726</cdr:x>
      <cdr:y>0.13534</cdr:y>
    </cdr:to>
    <cdr:sp macro="" textlink="">
      <cdr:nvSpPr>
        <cdr:cNvPr id="3" name="ZoneTexte 2"/>
        <cdr:cNvSpPr txBox="1"/>
      </cdr:nvSpPr>
      <cdr:spPr>
        <a:xfrm xmlns:a="http://schemas.openxmlformats.org/drawingml/2006/main">
          <a:off x="428625" y="0"/>
          <a:ext cx="2276475" cy="34290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endParaRPr lang="fr-FR" sz="1100"/>
        </a:p>
      </cdr:txBody>
    </cdr:sp>
  </cdr:relSizeAnchor>
  <cdr:relSizeAnchor xmlns:cdr="http://schemas.openxmlformats.org/drawingml/2006/chartDrawing">
    <cdr:from>
      <cdr:x>0.16781</cdr:x>
      <cdr:y>0.02632</cdr:y>
    </cdr:from>
    <cdr:to>
      <cdr:x>0.95548</cdr:x>
      <cdr:y>0.13158</cdr:y>
    </cdr:to>
    <cdr:sp macro="" textlink="">
      <cdr:nvSpPr>
        <cdr:cNvPr id="5" name="ZoneTexte 4"/>
        <cdr:cNvSpPr txBox="1"/>
      </cdr:nvSpPr>
      <cdr:spPr>
        <a:xfrm xmlns:a="http://schemas.openxmlformats.org/drawingml/2006/main">
          <a:off x="466725" y="66675"/>
          <a:ext cx="2190750" cy="26670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endParaRPr lang="fr-FR" sz="1100"/>
        </a:p>
      </cdr:txBody>
    </cdr:sp>
  </cdr:relSizeAnchor>
  <cdr:relSizeAnchor xmlns:cdr="http://schemas.openxmlformats.org/drawingml/2006/chartDrawing">
    <cdr:from>
      <cdr:x>0.15411</cdr:x>
      <cdr:y>0</cdr:y>
    </cdr:from>
    <cdr:to>
      <cdr:x>0.95205</cdr:x>
      <cdr:y>0.1391</cdr:y>
    </cdr:to>
    <cdr:sp macro="" textlink="">
      <cdr:nvSpPr>
        <cdr:cNvPr id="7" name="ZoneTexte 6"/>
        <cdr:cNvSpPr txBox="1"/>
      </cdr:nvSpPr>
      <cdr:spPr>
        <a:xfrm xmlns:a="http://schemas.openxmlformats.org/drawingml/2006/main">
          <a:off x="428625" y="0"/>
          <a:ext cx="2219325" cy="352425"/>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algn="ctr" rtl="0">
            <a:defRPr sz="1000" b="1" i="0" u="none" strike="noStrike" kern="1200" baseline="0">
              <a:solidFill>
                <a:srgbClr val="000000"/>
              </a:solidFill>
              <a:latin typeface="Times New Roman" pitchFamily="18" charset="0"/>
              <a:ea typeface="Calibri"/>
              <a:cs typeface="Times New Roman" pitchFamily="18" charset="0"/>
            </a:defRPr>
          </a:pPr>
          <a:r>
            <a:rPr lang="en-US" sz="1100" b="0"/>
            <a:t>Biomasse </a:t>
          </a:r>
          <a:r>
            <a:rPr lang="en-US" sz="1100" b="1"/>
            <a:t>Lba CECT4529</a:t>
          </a:r>
          <a:r>
            <a:rPr lang="en-US" sz="1100" b="0"/>
            <a:t> (+St)</a:t>
          </a:r>
        </a:p>
      </cdr:txBody>
    </cdr:sp>
  </cdr:relSizeAnchor>
</c:userShapes>
</file>

<file path=word/drawings/drawing30.xml><?xml version="1.0" encoding="utf-8"?>
<c:userShapes xmlns:c="http://schemas.openxmlformats.org/drawingml/2006/chart">
  <cdr:relSizeAnchor xmlns:cdr="http://schemas.openxmlformats.org/drawingml/2006/chartDrawing">
    <cdr:from>
      <cdr:x>0</cdr:x>
      <cdr:y>0</cdr:y>
    </cdr:from>
    <cdr:to>
      <cdr:x>0.00914</cdr:x>
      <cdr:y>0.01094</cdr:y>
    </cdr:to>
    <cdr:pic>
      <cdr:nvPicPr>
        <cdr:cNvPr id="2" name="chart"/>
        <cdr:cNvPicPr>
          <a:picLocks xmlns:a="http://schemas.openxmlformats.org/drawingml/2006/main" noChangeAspect="1"/>
        </cdr:cNvPicPr>
      </cdr:nvPicPr>
      <cdr:blipFill>
        <a:blip xmlns:a="http://schemas.openxmlformats.org/drawingml/2006/main" xmlns:r="http://schemas.openxmlformats.org/officeDocument/2006/relationships" r:embed="rId1"/>
        <a:stretch xmlns:a="http://schemas.openxmlformats.org/drawingml/2006/main">
          <a:fillRect/>
        </a:stretch>
      </cdr:blipFill>
      <cdr:spPr>
        <a:xfrm xmlns:a="http://schemas.openxmlformats.org/drawingml/2006/main">
          <a:off x="0" y="0"/>
          <a:ext cx="24386" cy="24386"/>
        </a:xfrm>
        <a:prstGeom xmlns:a="http://schemas.openxmlformats.org/drawingml/2006/main" prst="rect">
          <a:avLst/>
        </a:prstGeom>
      </cdr:spPr>
    </cdr:pic>
  </cdr:relSizeAnchor>
  <cdr:relSizeAnchor xmlns:cdr="http://schemas.openxmlformats.org/drawingml/2006/chartDrawing">
    <cdr:from>
      <cdr:x>0</cdr:x>
      <cdr:y>0</cdr:y>
    </cdr:from>
    <cdr:to>
      <cdr:x>0.00914</cdr:x>
      <cdr:y>0.01094</cdr:y>
    </cdr:to>
    <cdr:pic>
      <cdr:nvPicPr>
        <cdr:cNvPr id="3" name="chart"/>
        <cdr:cNvPicPr>
          <a:picLocks xmlns:a="http://schemas.openxmlformats.org/drawingml/2006/main" noChangeAspect="1"/>
        </cdr:cNvPicPr>
      </cdr:nvPicPr>
      <cdr:blipFill>
        <a:blip xmlns:a="http://schemas.openxmlformats.org/drawingml/2006/main" xmlns:r="http://schemas.openxmlformats.org/officeDocument/2006/relationships" r:embed="rId1"/>
        <a:stretch xmlns:a="http://schemas.openxmlformats.org/drawingml/2006/main">
          <a:fillRect/>
        </a:stretch>
      </cdr:blipFill>
      <cdr:spPr>
        <a:xfrm xmlns:a="http://schemas.openxmlformats.org/drawingml/2006/main">
          <a:off x="0" y="0"/>
          <a:ext cx="24386" cy="24386"/>
        </a:xfrm>
        <a:prstGeom xmlns:a="http://schemas.openxmlformats.org/drawingml/2006/main" prst="rect">
          <a:avLst/>
        </a:prstGeom>
      </cdr:spPr>
    </cdr:pic>
  </cdr:relSizeAnchor>
  <cdr:relSizeAnchor xmlns:cdr="http://schemas.openxmlformats.org/drawingml/2006/chartDrawing">
    <cdr:from>
      <cdr:x>0.18877</cdr:x>
      <cdr:y>0</cdr:y>
    </cdr:from>
    <cdr:to>
      <cdr:x>0.94022</cdr:x>
      <cdr:y>0.16048</cdr:y>
    </cdr:to>
    <cdr:sp macro="" textlink="">
      <cdr:nvSpPr>
        <cdr:cNvPr id="6" name="ZoneTexte 5"/>
        <cdr:cNvSpPr txBox="1"/>
      </cdr:nvSpPr>
      <cdr:spPr>
        <a:xfrm xmlns:a="http://schemas.openxmlformats.org/drawingml/2006/main">
          <a:off x="495300" y="0"/>
          <a:ext cx="1971675" cy="34290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algn="ctr" rtl="0">
            <a:defRPr sz="1000" b="1" i="0" u="none" strike="noStrike" kern="1200" baseline="0">
              <a:solidFill>
                <a:srgbClr val="000000"/>
              </a:solidFill>
              <a:latin typeface="Times New Roman"/>
              <a:ea typeface="Times New Roman"/>
              <a:cs typeface="Times New Roman"/>
            </a:defRPr>
          </a:pPr>
          <a:r>
            <a:rPr lang="fr-FR" sz="1100" b="0"/>
            <a:t>Biomasse </a:t>
          </a:r>
          <a:r>
            <a:rPr lang="fr-FR" sz="1100" b="1"/>
            <a:t>Lb</a:t>
          </a:r>
          <a:r>
            <a:rPr lang="fr-FR" sz="1100" b="1" baseline="-25000"/>
            <a:t>b</a:t>
          </a:r>
          <a:r>
            <a:rPr lang="fr-FR" sz="1100" b="0"/>
            <a:t> (+BLR + St</a:t>
          </a:r>
          <a:r>
            <a:rPr lang="fr-FR" sz="1100"/>
            <a:t>)</a:t>
          </a:r>
        </a:p>
      </cdr:txBody>
    </cdr:sp>
  </cdr:relSizeAnchor>
</c:userShapes>
</file>

<file path=word/drawings/drawing31.xml><?xml version="1.0" encoding="utf-8"?>
<c:userShapes xmlns:c="http://schemas.openxmlformats.org/drawingml/2006/chart">
  <cdr:relSizeAnchor xmlns:cdr="http://schemas.openxmlformats.org/drawingml/2006/chartDrawing">
    <cdr:from>
      <cdr:x>0.18806</cdr:x>
      <cdr:y>0.00893</cdr:y>
    </cdr:from>
    <cdr:to>
      <cdr:x>0.97302</cdr:x>
      <cdr:y>0.13397</cdr:y>
    </cdr:to>
    <cdr:sp macro="" textlink="">
      <cdr:nvSpPr>
        <cdr:cNvPr id="3" name="ZoneTexte 2"/>
        <cdr:cNvSpPr txBox="1"/>
      </cdr:nvSpPr>
      <cdr:spPr>
        <a:xfrm xmlns:a="http://schemas.openxmlformats.org/drawingml/2006/main">
          <a:off x="438150" y="19050"/>
          <a:ext cx="1828800" cy="26670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algn="ctr" rtl="0">
            <a:defRPr sz="1000" b="1" i="0" u="none" strike="noStrike" kern="1200" baseline="0">
              <a:solidFill>
                <a:sysClr val="windowText" lastClr="000000"/>
              </a:solidFill>
              <a:latin typeface="Times New Roman" pitchFamily="18" charset="0"/>
              <a:ea typeface="+mn-ea"/>
              <a:cs typeface="Times New Roman" pitchFamily="18" charset="0"/>
            </a:defRPr>
          </a:pPr>
          <a:r>
            <a:rPr lang="en-US" sz="1100">
              <a:latin typeface="Times New Roman" pitchFamily="18" charset="0"/>
              <a:cs typeface="Times New Roman" pitchFamily="18" charset="0"/>
            </a:rPr>
            <a:t>Lbp CECT748 + St + Lb</a:t>
          </a:r>
          <a:r>
            <a:rPr lang="fr-FR" sz="1100" b="1" baseline="-25000">
              <a:latin typeface="Times New Roman" pitchFamily="18" charset="0"/>
              <a:cs typeface="Times New Roman" pitchFamily="18" charset="0"/>
            </a:rPr>
            <a:t>b</a:t>
          </a:r>
          <a:endParaRPr lang="en-US" sz="1100" b="1">
            <a:latin typeface="Times New Roman" pitchFamily="18" charset="0"/>
            <a:cs typeface="Times New Roman" pitchFamily="18" charset="0"/>
          </a:endParaRPr>
        </a:p>
      </cdr:txBody>
    </cdr:sp>
  </cdr:relSizeAnchor>
</c:userShapes>
</file>

<file path=word/drawings/drawing32.xml><?xml version="1.0" encoding="utf-8"?>
<c:userShapes xmlns:c="http://schemas.openxmlformats.org/drawingml/2006/chart">
  <cdr:relSizeAnchor xmlns:cdr="http://schemas.openxmlformats.org/drawingml/2006/chartDrawing">
    <cdr:from>
      <cdr:x>0.25242</cdr:x>
      <cdr:y>0</cdr:y>
    </cdr:from>
    <cdr:to>
      <cdr:x>1</cdr:x>
      <cdr:y>0.11659</cdr:y>
    </cdr:to>
    <cdr:sp macro="" textlink="">
      <cdr:nvSpPr>
        <cdr:cNvPr id="3" name="ZoneTexte 2"/>
        <cdr:cNvSpPr txBox="1"/>
      </cdr:nvSpPr>
      <cdr:spPr>
        <a:xfrm xmlns:a="http://schemas.openxmlformats.org/drawingml/2006/main">
          <a:off x="628650" y="0"/>
          <a:ext cx="1861820" cy="24765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marL="0" marR="0" indent="0" algn="ctr" defTabSz="914400" rtl="0" eaLnBrk="1" fontAlgn="auto" latinLnBrk="0" hangingPunct="1">
            <a:lnSpc>
              <a:spcPct val="100000"/>
            </a:lnSpc>
            <a:spcBef>
              <a:spcPts val="0"/>
            </a:spcBef>
            <a:spcAft>
              <a:spcPts val="0"/>
            </a:spcAft>
            <a:buClrTx/>
            <a:buSzTx/>
            <a:buFontTx/>
            <a:buNone/>
            <a:tabLst/>
            <a:defRPr/>
          </a:pPr>
          <a:r>
            <a:rPr lang="fr-FR" sz="1100" b="1">
              <a:latin typeface="Times New Roman" pitchFamily="18" charset="0"/>
              <a:cs typeface="Times New Roman" pitchFamily="18" charset="0"/>
            </a:rPr>
            <a:t>Lba CECT4529 + St + Lb</a:t>
          </a:r>
          <a:r>
            <a:rPr lang="fr-FR" sz="1100" b="1" baseline="-25000">
              <a:latin typeface="Times New Roman" pitchFamily="18" charset="0"/>
              <a:cs typeface="Times New Roman" pitchFamily="18" charset="0"/>
            </a:rPr>
            <a:t>b</a:t>
          </a:r>
          <a:endParaRPr lang="fr-FR" sz="1100" b="1">
            <a:latin typeface="Times New Roman" pitchFamily="18" charset="0"/>
            <a:cs typeface="Times New Roman" pitchFamily="18" charset="0"/>
          </a:endParaRPr>
        </a:p>
        <a:p xmlns:a="http://schemas.openxmlformats.org/drawingml/2006/main">
          <a:endParaRPr lang="fr-FR" sz="1100"/>
        </a:p>
      </cdr:txBody>
    </cdr:sp>
  </cdr:relSizeAnchor>
</c:userShapes>
</file>

<file path=word/drawings/drawing33.xml><?xml version="1.0" encoding="utf-8"?>
<c:userShapes xmlns:c="http://schemas.openxmlformats.org/drawingml/2006/chart">
  <cdr:relSizeAnchor xmlns:cdr="http://schemas.openxmlformats.org/drawingml/2006/chartDrawing">
    <cdr:from>
      <cdr:x>0.02811</cdr:x>
      <cdr:y>0.79621</cdr:y>
    </cdr:from>
    <cdr:to>
      <cdr:x>0.30522</cdr:x>
      <cdr:y>1</cdr:y>
    </cdr:to>
    <cdr:sp macro="" textlink="">
      <cdr:nvSpPr>
        <cdr:cNvPr id="2" name="ZoneTexte 1"/>
        <cdr:cNvSpPr txBox="1"/>
      </cdr:nvSpPr>
      <cdr:spPr>
        <a:xfrm xmlns:a="http://schemas.openxmlformats.org/drawingml/2006/main">
          <a:off x="66675" y="1800225"/>
          <a:ext cx="657225" cy="409575"/>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endParaRPr lang="fr-FR" sz="1100"/>
        </a:p>
      </cdr:txBody>
    </cdr:sp>
  </cdr:relSizeAnchor>
  <cdr:relSizeAnchor xmlns:cdr="http://schemas.openxmlformats.org/drawingml/2006/chartDrawing">
    <cdr:from>
      <cdr:x>0.27636</cdr:x>
      <cdr:y>0</cdr:y>
    </cdr:from>
    <cdr:to>
      <cdr:x>0.93818</cdr:x>
      <cdr:y>0.13733</cdr:y>
    </cdr:to>
    <cdr:sp macro="" textlink="">
      <cdr:nvSpPr>
        <cdr:cNvPr id="4" name="ZoneTexte 3"/>
        <cdr:cNvSpPr txBox="1"/>
      </cdr:nvSpPr>
      <cdr:spPr>
        <a:xfrm xmlns:a="http://schemas.openxmlformats.org/drawingml/2006/main">
          <a:off x="723900" y="0"/>
          <a:ext cx="1733550" cy="295275"/>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marL="0" marR="0" indent="0" algn="ctr" defTabSz="914400" rtl="0" eaLnBrk="1" fontAlgn="auto" latinLnBrk="0" hangingPunct="1">
            <a:lnSpc>
              <a:spcPct val="100000"/>
            </a:lnSpc>
            <a:spcBef>
              <a:spcPts val="0"/>
            </a:spcBef>
            <a:spcAft>
              <a:spcPts val="0"/>
            </a:spcAft>
            <a:buClrTx/>
            <a:buSzTx/>
            <a:buFontTx/>
            <a:buNone/>
            <a:tabLst/>
            <a:defRPr/>
          </a:pPr>
          <a:r>
            <a:rPr lang="en-US" sz="1100" b="1">
              <a:latin typeface="Times New Roman" pitchFamily="18" charset="0"/>
              <a:cs typeface="Times New Roman" pitchFamily="18" charset="0"/>
            </a:rPr>
            <a:t>Bb12 + St + Lb</a:t>
          </a:r>
          <a:r>
            <a:rPr lang="fr-FR" sz="1100" b="1" baseline="-25000">
              <a:latin typeface="Times New Roman" pitchFamily="18" charset="0"/>
              <a:cs typeface="Times New Roman" pitchFamily="18" charset="0"/>
            </a:rPr>
            <a:t>b</a:t>
          </a:r>
          <a:endParaRPr lang="en-US" sz="1100" b="1">
            <a:latin typeface="Times New Roman" pitchFamily="18" charset="0"/>
            <a:cs typeface="Times New Roman" pitchFamily="18" charset="0"/>
          </a:endParaRPr>
        </a:p>
        <a:p xmlns:a="http://schemas.openxmlformats.org/drawingml/2006/main">
          <a:endParaRPr lang="fr-FR" sz="1100"/>
        </a:p>
      </cdr:txBody>
    </cdr:sp>
  </cdr:relSizeAnchor>
</c:userShapes>
</file>

<file path=word/drawings/drawing34.xml><?xml version="1.0" encoding="utf-8"?>
<c:userShapes xmlns:c="http://schemas.openxmlformats.org/drawingml/2006/chart">
  <cdr:relSizeAnchor xmlns:cdr="http://schemas.openxmlformats.org/drawingml/2006/chartDrawing">
    <cdr:from>
      <cdr:x>0</cdr:x>
      <cdr:y>0</cdr:y>
    </cdr:from>
    <cdr:to>
      <cdr:x>0.01058</cdr:x>
      <cdr:y>0.01225</cdr:y>
    </cdr:to>
    <cdr:pic>
      <cdr:nvPicPr>
        <cdr:cNvPr id="2" name="chart"/>
        <cdr:cNvPicPr>
          <a:picLocks xmlns:a="http://schemas.openxmlformats.org/drawingml/2006/main" noChangeAspect="1"/>
        </cdr:cNvPicPr>
      </cdr:nvPicPr>
      <cdr:blipFill>
        <a:blip xmlns:a="http://schemas.openxmlformats.org/drawingml/2006/main" xmlns:r="http://schemas.openxmlformats.org/officeDocument/2006/relationships" r:embed="rId1"/>
        <a:stretch xmlns:a="http://schemas.openxmlformats.org/drawingml/2006/main">
          <a:fillRect/>
        </a:stretch>
      </cdr:blipFill>
      <cdr:spPr>
        <a:xfrm xmlns:a="http://schemas.openxmlformats.org/drawingml/2006/main">
          <a:off x="0" y="0"/>
          <a:ext cx="24386" cy="24386"/>
        </a:xfrm>
        <a:prstGeom xmlns:a="http://schemas.openxmlformats.org/drawingml/2006/main" prst="rect">
          <a:avLst/>
        </a:prstGeom>
      </cdr:spPr>
    </cdr:pic>
  </cdr:relSizeAnchor>
  <cdr:relSizeAnchor xmlns:cdr="http://schemas.openxmlformats.org/drawingml/2006/chartDrawing">
    <cdr:from>
      <cdr:x>0.26886</cdr:x>
      <cdr:y>0.02205</cdr:y>
    </cdr:from>
    <cdr:to>
      <cdr:x>1</cdr:x>
      <cdr:y>0.1455</cdr:y>
    </cdr:to>
    <cdr:sp macro="" textlink="">
      <cdr:nvSpPr>
        <cdr:cNvPr id="4" name="ZoneTexte 3"/>
        <cdr:cNvSpPr txBox="1"/>
      </cdr:nvSpPr>
      <cdr:spPr>
        <a:xfrm xmlns:a="http://schemas.openxmlformats.org/drawingml/2006/main">
          <a:off x="638175" y="47625"/>
          <a:ext cx="1735455" cy="26670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fr-FR" sz="1100" b="1">
              <a:latin typeface="Times New Roman" pitchFamily="18" charset="0"/>
              <a:cs typeface="Times New Roman" pitchFamily="18" charset="0"/>
            </a:rPr>
            <a:t>BLR + St + Lb</a:t>
          </a:r>
          <a:r>
            <a:rPr lang="fr-FR" sz="1100" b="1" baseline="-25000">
              <a:latin typeface="Times New Roman" pitchFamily="18" charset="0"/>
              <a:cs typeface="Times New Roman" pitchFamily="18" charset="0"/>
            </a:rPr>
            <a:t>b</a:t>
          </a:r>
          <a:endParaRPr lang="fr-FR" sz="1100" b="1">
            <a:latin typeface="Times New Roman" pitchFamily="18" charset="0"/>
            <a:cs typeface="Times New Roman" pitchFamily="18" charset="0"/>
          </a:endParaRPr>
        </a:p>
      </cdr:txBody>
    </cdr:sp>
  </cdr:relSizeAnchor>
</c:userShapes>
</file>

<file path=word/drawings/drawing35.xml><?xml version="1.0" encoding="utf-8"?>
<c:userShapes xmlns:c="http://schemas.openxmlformats.org/drawingml/2006/chart">
  <cdr:relSizeAnchor xmlns:cdr="http://schemas.openxmlformats.org/drawingml/2006/chartDrawing">
    <cdr:from>
      <cdr:x>0.19809</cdr:x>
      <cdr:y>0</cdr:y>
    </cdr:from>
    <cdr:to>
      <cdr:x>0.9483</cdr:x>
      <cdr:y>0.12464</cdr:y>
    </cdr:to>
    <cdr:sp macro="" textlink="">
      <cdr:nvSpPr>
        <cdr:cNvPr id="3" name="ZoneTexte 2"/>
        <cdr:cNvSpPr txBox="1"/>
      </cdr:nvSpPr>
      <cdr:spPr>
        <a:xfrm xmlns:a="http://schemas.openxmlformats.org/drawingml/2006/main">
          <a:off x="447675" y="0"/>
          <a:ext cx="1695450" cy="276225"/>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marL="0" marR="0" indent="0" algn="ctr" defTabSz="914400" rtl="0" eaLnBrk="1" fontAlgn="auto" latinLnBrk="0" hangingPunct="1">
            <a:lnSpc>
              <a:spcPct val="100000"/>
            </a:lnSpc>
            <a:spcBef>
              <a:spcPts val="0"/>
            </a:spcBef>
            <a:spcAft>
              <a:spcPts val="0"/>
            </a:spcAft>
            <a:buClrTx/>
            <a:buSzTx/>
            <a:buFontTx/>
            <a:buNone/>
            <a:tabLst/>
            <a:defRPr/>
          </a:pPr>
          <a:r>
            <a:rPr lang="en-US" sz="1100" b="1">
              <a:latin typeface="Times New Roman" pitchFamily="18" charset="0"/>
              <a:cs typeface="Times New Roman" pitchFamily="18" charset="0"/>
            </a:rPr>
            <a:t>LbRE-LSAS + St + Lb</a:t>
          </a:r>
          <a:r>
            <a:rPr lang="fr-FR" sz="1100" b="1" baseline="-25000">
              <a:latin typeface="Times New Roman" pitchFamily="18" charset="0"/>
              <a:cs typeface="Times New Roman" pitchFamily="18" charset="0"/>
            </a:rPr>
            <a:t>b</a:t>
          </a:r>
          <a:endParaRPr lang="en-US" sz="1100" b="1">
            <a:latin typeface="Times New Roman" pitchFamily="18" charset="0"/>
            <a:cs typeface="Times New Roman" pitchFamily="18" charset="0"/>
          </a:endParaRPr>
        </a:p>
        <a:p xmlns:a="http://schemas.openxmlformats.org/drawingml/2006/main">
          <a:endParaRPr lang="fr-FR" sz="1100"/>
        </a:p>
      </cdr:txBody>
    </cdr:sp>
  </cdr:relSizeAnchor>
</c:userShapes>
</file>

<file path=word/drawings/drawing36.xml><?xml version="1.0" encoding="utf-8"?>
<c:userShapes xmlns:c="http://schemas.openxmlformats.org/drawingml/2006/chart">
  <cdr:relSizeAnchor xmlns:cdr="http://schemas.openxmlformats.org/drawingml/2006/chartDrawing">
    <cdr:from>
      <cdr:x>0.19336</cdr:x>
      <cdr:y>0.00881</cdr:y>
    </cdr:from>
    <cdr:to>
      <cdr:x>0.95935</cdr:x>
      <cdr:y>0.12775</cdr:y>
    </cdr:to>
    <cdr:sp macro="" textlink="">
      <cdr:nvSpPr>
        <cdr:cNvPr id="3" name="ZoneTexte 2"/>
        <cdr:cNvSpPr txBox="1"/>
      </cdr:nvSpPr>
      <cdr:spPr>
        <a:xfrm xmlns:a="http://schemas.openxmlformats.org/drawingml/2006/main">
          <a:off x="495300" y="19050"/>
          <a:ext cx="1962150" cy="257175"/>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marL="0" marR="0" indent="0" algn="ctr" defTabSz="914400" rtl="0" eaLnBrk="1" fontAlgn="auto" latinLnBrk="0" hangingPunct="1">
            <a:lnSpc>
              <a:spcPct val="100000"/>
            </a:lnSpc>
            <a:spcBef>
              <a:spcPts val="0"/>
            </a:spcBef>
            <a:spcAft>
              <a:spcPts val="0"/>
            </a:spcAft>
            <a:buClrTx/>
            <a:buSzTx/>
            <a:buFontTx/>
            <a:buNone/>
            <a:tabLst/>
            <a:defRPr/>
          </a:pPr>
          <a:r>
            <a:rPr lang="fr-FR" sz="1100" b="0">
              <a:latin typeface="Times New Roman" pitchFamily="18" charset="0"/>
              <a:cs typeface="Times New Roman" pitchFamily="18" charset="0"/>
            </a:rPr>
            <a:t>Viabilité </a:t>
          </a:r>
          <a:r>
            <a:rPr lang="fr-FR" sz="1100" b="1">
              <a:latin typeface="Times New Roman" pitchFamily="18" charset="0"/>
              <a:cs typeface="Times New Roman" pitchFamily="18" charset="0"/>
            </a:rPr>
            <a:t>LbRE-LSAS</a:t>
          </a:r>
          <a:r>
            <a:rPr lang="fr-FR" sz="1100" b="0">
              <a:latin typeface="Times New Roman" pitchFamily="18" charset="0"/>
              <a:cs typeface="Times New Roman" pitchFamily="18" charset="0"/>
            </a:rPr>
            <a:t> (+St)</a:t>
          </a:r>
        </a:p>
        <a:p xmlns:a="http://schemas.openxmlformats.org/drawingml/2006/main">
          <a:endParaRPr lang="fr-FR" sz="1100"/>
        </a:p>
      </cdr:txBody>
    </cdr:sp>
  </cdr:relSizeAnchor>
</c:userShapes>
</file>

<file path=word/drawings/drawing37.xml><?xml version="1.0" encoding="utf-8"?>
<c:userShapes xmlns:c="http://schemas.openxmlformats.org/drawingml/2006/chart">
  <cdr:relSizeAnchor xmlns:cdr="http://schemas.openxmlformats.org/drawingml/2006/chartDrawing">
    <cdr:from>
      <cdr:x>0.23381</cdr:x>
      <cdr:y>0</cdr:y>
    </cdr:from>
    <cdr:to>
      <cdr:x>0.96259</cdr:x>
      <cdr:y>0.11111</cdr:y>
    </cdr:to>
    <cdr:sp macro="" textlink="">
      <cdr:nvSpPr>
        <cdr:cNvPr id="3" name="ZoneTexte 2"/>
        <cdr:cNvSpPr txBox="1"/>
      </cdr:nvSpPr>
      <cdr:spPr>
        <a:xfrm xmlns:a="http://schemas.openxmlformats.org/drawingml/2006/main">
          <a:off x="619117" y="0"/>
          <a:ext cx="1929773" cy="247647"/>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marL="0" marR="0" indent="0" algn="ctr" defTabSz="914400" rtl="0" eaLnBrk="1" fontAlgn="auto" latinLnBrk="0" hangingPunct="1">
            <a:lnSpc>
              <a:spcPct val="100000"/>
            </a:lnSpc>
            <a:spcBef>
              <a:spcPts val="0"/>
            </a:spcBef>
            <a:spcAft>
              <a:spcPts val="0"/>
            </a:spcAft>
            <a:buClrTx/>
            <a:buSzTx/>
            <a:buFontTx/>
            <a:buNone/>
            <a:tabLst/>
            <a:defRPr/>
          </a:pPr>
          <a:r>
            <a:rPr lang="en-US" sz="1100" b="0">
              <a:latin typeface="Times New Roman" pitchFamily="18" charset="0"/>
              <a:cs typeface="Times New Roman" pitchFamily="18" charset="0"/>
            </a:rPr>
            <a:t>Viabilité </a:t>
          </a:r>
          <a:r>
            <a:rPr lang="en-US" sz="1100" b="1">
              <a:latin typeface="Times New Roman" pitchFamily="18" charset="0"/>
              <a:cs typeface="Times New Roman" pitchFamily="18" charset="0"/>
            </a:rPr>
            <a:t>BLR</a:t>
          </a:r>
          <a:r>
            <a:rPr lang="en-US" sz="1100" b="0">
              <a:latin typeface="Times New Roman" pitchFamily="18" charset="0"/>
              <a:cs typeface="Times New Roman" pitchFamily="18" charset="0"/>
            </a:rPr>
            <a:t> (+St)</a:t>
          </a:r>
        </a:p>
        <a:p xmlns:a="http://schemas.openxmlformats.org/drawingml/2006/main">
          <a:endParaRPr lang="fr-FR" sz="1100"/>
        </a:p>
      </cdr:txBody>
    </cdr:sp>
  </cdr:relSizeAnchor>
</c:userShapes>
</file>

<file path=word/drawings/drawing38.xml><?xml version="1.0" encoding="utf-8"?>
<c:userShapes xmlns:c="http://schemas.openxmlformats.org/drawingml/2006/chart">
  <cdr:relSizeAnchor xmlns:cdr="http://schemas.openxmlformats.org/drawingml/2006/chartDrawing">
    <cdr:from>
      <cdr:x>0.14466</cdr:x>
      <cdr:y>0</cdr:y>
    </cdr:from>
    <cdr:to>
      <cdr:x>1</cdr:x>
      <cdr:y>0.12554</cdr:y>
    </cdr:to>
    <cdr:sp macro="" textlink="">
      <cdr:nvSpPr>
        <cdr:cNvPr id="3" name="ZoneTexte 2"/>
        <cdr:cNvSpPr txBox="1"/>
      </cdr:nvSpPr>
      <cdr:spPr>
        <a:xfrm xmlns:a="http://schemas.openxmlformats.org/drawingml/2006/main">
          <a:off x="371475" y="-9525"/>
          <a:ext cx="2196465" cy="276225"/>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marL="0" marR="0" indent="0" algn="ctr" defTabSz="914400" rtl="0" eaLnBrk="1" fontAlgn="auto" latinLnBrk="0" hangingPunct="1">
            <a:lnSpc>
              <a:spcPct val="100000"/>
            </a:lnSpc>
            <a:spcBef>
              <a:spcPts val="0"/>
            </a:spcBef>
            <a:spcAft>
              <a:spcPts val="0"/>
            </a:spcAft>
            <a:buClrTx/>
            <a:buSzTx/>
            <a:buFontTx/>
            <a:buNone/>
            <a:tabLst/>
            <a:defRPr/>
          </a:pPr>
          <a:r>
            <a:rPr lang="en-US" sz="1100" b="0">
              <a:latin typeface="Times New Roman" pitchFamily="18" charset="0"/>
              <a:cs typeface="Times New Roman" pitchFamily="18" charset="0"/>
            </a:rPr>
            <a:t>Viabilité </a:t>
          </a:r>
          <a:r>
            <a:rPr lang="en-US" sz="1100" b="1">
              <a:latin typeface="Times New Roman" pitchFamily="18" charset="0"/>
              <a:cs typeface="Times New Roman" pitchFamily="18" charset="0"/>
            </a:rPr>
            <a:t>Lba CECT4529</a:t>
          </a:r>
          <a:r>
            <a:rPr lang="en-US" sz="1100" b="0">
              <a:latin typeface="Times New Roman" pitchFamily="18" charset="0"/>
              <a:cs typeface="Times New Roman" pitchFamily="18" charset="0"/>
            </a:rPr>
            <a:t> (+St)</a:t>
          </a:r>
        </a:p>
        <a:p xmlns:a="http://schemas.openxmlformats.org/drawingml/2006/main">
          <a:endParaRPr lang="fr-FR" sz="1100"/>
        </a:p>
      </cdr:txBody>
    </cdr:sp>
  </cdr:relSizeAnchor>
</c:userShapes>
</file>

<file path=word/drawings/drawing39.xml><?xml version="1.0" encoding="utf-8"?>
<c:userShapes xmlns:c="http://schemas.openxmlformats.org/drawingml/2006/chart">
  <cdr:relSizeAnchor xmlns:cdr="http://schemas.openxmlformats.org/drawingml/2006/chartDrawing">
    <cdr:from>
      <cdr:x>0.13851</cdr:x>
      <cdr:y>0.00856</cdr:y>
    </cdr:from>
    <cdr:to>
      <cdr:x>1</cdr:x>
      <cdr:y>0.13274</cdr:y>
    </cdr:to>
    <cdr:sp macro="" textlink="">
      <cdr:nvSpPr>
        <cdr:cNvPr id="3" name="ZoneTexte 2"/>
        <cdr:cNvSpPr txBox="1"/>
      </cdr:nvSpPr>
      <cdr:spPr>
        <a:xfrm xmlns:a="http://schemas.openxmlformats.org/drawingml/2006/main">
          <a:off x="323850" y="19050"/>
          <a:ext cx="2014219" cy="276225"/>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marL="0" marR="0" indent="0" algn="ctr" defTabSz="914400" rtl="0" eaLnBrk="1" fontAlgn="auto" latinLnBrk="0" hangingPunct="1">
            <a:lnSpc>
              <a:spcPct val="100000"/>
            </a:lnSpc>
            <a:spcBef>
              <a:spcPts val="0"/>
            </a:spcBef>
            <a:spcAft>
              <a:spcPts val="0"/>
            </a:spcAft>
            <a:buClrTx/>
            <a:buSzTx/>
            <a:buFontTx/>
            <a:buNone/>
            <a:tabLst/>
            <a:defRPr/>
          </a:pPr>
          <a:r>
            <a:rPr lang="en-US" sz="1100" b="0">
              <a:latin typeface="Times New Roman" pitchFamily="18" charset="0"/>
              <a:cs typeface="Times New Roman" pitchFamily="18" charset="0"/>
            </a:rPr>
            <a:t>Viabilité </a:t>
          </a:r>
          <a:r>
            <a:rPr lang="en-US" sz="1100" b="1">
              <a:latin typeface="Times New Roman" pitchFamily="18" charset="0"/>
              <a:cs typeface="Times New Roman" pitchFamily="18" charset="0"/>
            </a:rPr>
            <a:t>Lbp CECT748</a:t>
          </a:r>
          <a:r>
            <a:rPr lang="en-US" sz="1100" b="0">
              <a:latin typeface="Times New Roman" pitchFamily="18" charset="0"/>
              <a:cs typeface="Times New Roman" pitchFamily="18" charset="0"/>
            </a:rPr>
            <a:t> (+St)</a:t>
          </a:r>
        </a:p>
        <a:p xmlns:a="http://schemas.openxmlformats.org/drawingml/2006/main">
          <a:endParaRPr lang="fr-FR" sz="1100"/>
        </a:p>
      </cdr:txBody>
    </cdr:sp>
  </cdr:relSizeAnchor>
</c:userShapes>
</file>

<file path=word/drawings/drawing4.xml><?xml version="1.0" encoding="utf-8"?>
<c:userShapes xmlns:c="http://schemas.openxmlformats.org/drawingml/2006/chart">
  <cdr:relSizeAnchor xmlns:cdr="http://schemas.openxmlformats.org/drawingml/2006/chartDrawing">
    <cdr:from>
      <cdr:x>0.1597</cdr:x>
      <cdr:y>0</cdr:y>
    </cdr:from>
    <cdr:to>
      <cdr:x>1</cdr:x>
      <cdr:y>0.13333</cdr:y>
    </cdr:to>
    <cdr:sp macro="" textlink="">
      <cdr:nvSpPr>
        <cdr:cNvPr id="3" name="ZoneTexte 2"/>
        <cdr:cNvSpPr txBox="1"/>
      </cdr:nvSpPr>
      <cdr:spPr>
        <a:xfrm xmlns:a="http://schemas.openxmlformats.org/drawingml/2006/main">
          <a:off x="400050" y="0"/>
          <a:ext cx="2105025" cy="28575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marL="0" marR="0" indent="0" algn="ctr" defTabSz="914400" rtl="0" eaLnBrk="1" fontAlgn="auto" latinLnBrk="0" hangingPunct="1">
            <a:lnSpc>
              <a:spcPct val="100000"/>
            </a:lnSpc>
            <a:spcBef>
              <a:spcPts val="0"/>
            </a:spcBef>
            <a:spcAft>
              <a:spcPts val="0"/>
            </a:spcAft>
            <a:buClrTx/>
            <a:buSzTx/>
            <a:buFontTx/>
            <a:buNone/>
            <a:tabLst/>
            <a:defRPr/>
          </a:pPr>
          <a:r>
            <a:rPr lang="en-US" sz="1100" b="0">
              <a:latin typeface="Times New Roman" pitchFamily="18" charset="0"/>
              <a:cs typeface="Times New Roman" pitchFamily="18" charset="0"/>
            </a:rPr>
            <a:t>Biomasse </a:t>
          </a:r>
          <a:r>
            <a:rPr lang="en-US" sz="1100" b="1">
              <a:latin typeface="Times New Roman" pitchFamily="18" charset="0"/>
              <a:cs typeface="Times New Roman" pitchFamily="18" charset="0"/>
            </a:rPr>
            <a:t>BLR</a:t>
          </a:r>
          <a:r>
            <a:rPr lang="en-US" sz="1100" b="0">
              <a:latin typeface="Times New Roman" pitchFamily="18" charset="0"/>
              <a:cs typeface="Times New Roman" pitchFamily="18" charset="0"/>
            </a:rPr>
            <a:t> (+St)</a:t>
          </a:r>
        </a:p>
        <a:p xmlns:a="http://schemas.openxmlformats.org/drawingml/2006/main">
          <a:endParaRPr lang="fr-FR" sz="1100"/>
        </a:p>
      </cdr:txBody>
    </cdr:sp>
  </cdr:relSizeAnchor>
</c:userShapes>
</file>

<file path=word/drawings/drawing40.xml><?xml version="1.0" encoding="utf-8"?>
<c:userShapes xmlns:c="http://schemas.openxmlformats.org/drawingml/2006/chart">
  <cdr:relSizeAnchor xmlns:cdr="http://schemas.openxmlformats.org/drawingml/2006/chartDrawing">
    <cdr:from>
      <cdr:x>0.18021</cdr:x>
      <cdr:y>0</cdr:y>
    </cdr:from>
    <cdr:to>
      <cdr:x>0.49117</cdr:x>
      <cdr:y>0.01983</cdr:y>
    </cdr:to>
    <cdr:sp macro="" textlink="">
      <cdr:nvSpPr>
        <cdr:cNvPr id="3" name="ZoneTexte 2"/>
        <cdr:cNvSpPr txBox="1"/>
      </cdr:nvSpPr>
      <cdr:spPr>
        <a:xfrm xmlns:a="http://schemas.openxmlformats.org/drawingml/2006/main">
          <a:off x="485775" y="0"/>
          <a:ext cx="838200" cy="45719"/>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endParaRPr lang="fr-FR" sz="1100"/>
        </a:p>
      </cdr:txBody>
    </cdr:sp>
  </cdr:relSizeAnchor>
  <cdr:relSizeAnchor xmlns:cdr="http://schemas.openxmlformats.org/drawingml/2006/chartDrawing">
    <cdr:from>
      <cdr:x>0.20142</cdr:x>
      <cdr:y>0</cdr:y>
    </cdr:from>
    <cdr:to>
      <cdr:x>0.94347</cdr:x>
      <cdr:y>0.1157</cdr:y>
    </cdr:to>
    <cdr:sp macro="" textlink="">
      <cdr:nvSpPr>
        <cdr:cNvPr id="4" name="ZoneTexte 3"/>
        <cdr:cNvSpPr txBox="1"/>
      </cdr:nvSpPr>
      <cdr:spPr>
        <a:xfrm xmlns:a="http://schemas.openxmlformats.org/drawingml/2006/main">
          <a:off x="542933" y="0"/>
          <a:ext cx="2000252" cy="266695"/>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marL="0" marR="0" indent="0" algn="ctr" defTabSz="914400" rtl="0" eaLnBrk="1" fontAlgn="auto" latinLnBrk="0" hangingPunct="1">
            <a:lnSpc>
              <a:spcPct val="100000"/>
            </a:lnSpc>
            <a:spcBef>
              <a:spcPts val="0"/>
            </a:spcBef>
            <a:spcAft>
              <a:spcPts val="0"/>
            </a:spcAft>
            <a:buClrTx/>
            <a:buSzTx/>
            <a:buFontTx/>
            <a:buNone/>
            <a:tabLst/>
            <a:defRPr/>
          </a:pPr>
          <a:r>
            <a:rPr lang="en-US" sz="1100" b="0">
              <a:latin typeface="Times New Roman" pitchFamily="18" charset="0"/>
              <a:cs typeface="Times New Roman" pitchFamily="18" charset="0"/>
            </a:rPr>
            <a:t>Viabilité </a:t>
          </a:r>
          <a:r>
            <a:rPr lang="en-US" sz="1100" b="1">
              <a:latin typeface="Times New Roman" pitchFamily="18" charset="0"/>
              <a:cs typeface="Times New Roman" pitchFamily="18" charset="0"/>
            </a:rPr>
            <a:t>Bb12</a:t>
          </a:r>
          <a:r>
            <a:rPr lang="en-US" sz="1100" b="0">
              <a:latin typeface="Times New Roman" pitchFamily="18" charset="0"/>
              <a:cs typeface="Times New Roman" pitchFamily="18" charset="0"/>
            </a:rPr>
            <a:t> (+St)</a:t>
          </a:r>
        </a:p>
        <a:p xmlns:a="http://schemas.openxmlformats.org/drawingml/2006/main">
          <a:endParaRPr lang="fr-FR" sz="1100"/>
        </a:p>
      </cdr:txBody>
    </cdr:sp>
  </cdr:relSizeAnchor>
</c:userShapes>
</file>

<file path=word/drawings/drawing41.xml><?xml version="1.0" encoding="utf-8"?>
<c:userShapes xmlns:c="http://schemas.openxmlformats.org/drawingml/2006/chart">
  <cdr:relSizeAnchor xmlns:cdr="http://schemas.openxmlformats.org/drawingml/2006/chartDrawing">
    <cdr:from>
      <cdr:x>0.20024</cdr:x>
      <cdr:y>0</cdr:y>
    </cdr:from>
    <cdr:to>
      <cdr:x>1</cdr:x>
      <cdr:y>0.10584</cdr:y>
    </cdr:to>
    <cdr:sp macro="" textlink="">
      <cdr:nvSpPr>
        <cdr:cNvPr id="3" name="ZoneTexte 2"/>
        <cdr:cNvSpPr txBox="1"/>
      </cdr:nvSpPr>
      <cdr:spPr>
        <a:xfrm xmlns:a="http://schemas.openxmlformats.org/drawingml/2006/main">
          <a:off x="523875" y="0"/>
          <a:ext cx="2092325" cy="276225"/>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marL="0" marR="0" indent="0" algn="ctr" defTabSz="914400" rtl="0" eaLnBrk="1" fontAlgn="auto" latinLnBrk="0" hangingPunct="1">
            <a:lnSpc>
              <a:spcPct val="100000"/>
            </a:lnSpc>
            <a:spcBef>
              <a:spcPts val="0"/>
            </a:spcBef>
            <a:spcAft>
              <a:spcPts val="0"/>
            </a:spcAft>
            <a:buClrTx/>
            <a:buSzTx/>
            <a:buFontTx/>
            <a:buNone/>
            <a:tabLst/>
            <a:defRPr/>
          </a:pPr>
          <a:r>
            <a:rPr lang="en-US" sz="1100" b="0">
              <a:latin typeface="Times New Roman" pitchFamily="18" charset="0"/>
              <a:cs typeface="Times New Roman" pitchFamily="18" charset="0"/>
            </a:rPr>
            <a:t>Viabilité </a:t>
          </a:r>
          <a:r>
            <a:rPr lang="en-US" sz="1100" b="1">
              <a:latin typeface="Times New Roman" pitchFamily="18" charset="0"/>
              <a:cs typeface="Times New Roman" pitchFamily="18" charset="0"/>
            </a:rPr>
            <a:t>St</a:t>
          </a:r>
          <a:r>
            <a:rPr lang="en-US" sz="1100" b="0">
              <a:latin typeface="Times New Roman" pitchFamily="18" charset="0"/>
              <a:cs typeface="Times New Roman" pitchFamily="18" charset="0"/>
            </a:rPr>
            <a:t> (+Lbp CECT748</a:t>
          </a:r>
          <a:r>
            <a:rPr lang="en-US" sz="1200" b="0">
              <a:latin typeface="Times New Roman" pitchFamily="18" charset="0"/>
              <a:cs typeface="Times New Roman" pitchFamily="18" charset="0"/>
            </a:rPr>
            <a:t>)</a:t>
          </a:r>
        </a:p>
        <a:p xmlns:a="http://schemas.openxmlformats.org/drawingml/2006/main">
          <a:endParaRPr lang="fr-FR" sz="1100"/>
        </a:p>
      </cdr:txBody>
    </cdr:sp>
  </cdr:relSizeAnchor>
</c:userShapes>
</file>

<file path=word/drawings/drawing42.xml><?xml version="1.0" encoding="utf-8"?>
<c:userShapes xmlns:c="http://schemas.openxmlformats.org/drawingml/2006/chart">
  <cdr:relSizeAnchor xmlns:cdr="http://schemas.openxmlformats.org/drawingml/2006/chartDrawing">
    <cdr:from>
      <cdr:x>0.19083</cdr:x>
      <cdr:y>0</cdr:y>
    </cdr:from>
    <cdr:to>
      <cdr:x>1</cdr:x>
      <cdr:y>0.13008</cdr:y>
    </cdr:to>
    <cdr:sp macro="" textlink="">
      <cdr:nvSpPr>
        <cdr:cNvPr id="3" name="ZoneTexte 2"/>
        <cdr:cNvSpPr txBox="1"/>
      </cdr:nvSpPr>
      <cdr:spPr>
        <a:xfrm xmlns:a="http://schemas.openxmlformats.org/drawingml/2006/main">
          <a:off x="504826" y="0"/>
          <a:ext cx="2140584" cy="30480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algn="ctr" rtl="0">
            <a:defRPr sz="1000" b="1" i="0" u="none" strike="noStrike" kern="1200" baseline="0">
              <a:solidFill>
                <a:srgbClr val="000000"/>
              </a:solidFill>
              <a:latin typeface="Times New Roman" pitchFamily="18" charset="0"/>
              <a:ea typeface="Calibri"/>
              <a:cs typeface="Times New Roman" pitchFamily="18" charset="0"/>
            </a:defRPr>
          </a:pPr>
          <a:r>
            <a:rPr lang="en-US" sz="1100" b="0"/>
            <a:t>Viabilité </a:t>
          </a:r>
          <a:r>
            <a:rPr lang="en-US" sz="1100" b="1"/>
            <a:t>St</a:t>
          </a:r>
          <a:r>
            <a:rPr lang="en-US" sz="1100" b="0"/>
            <a:t> (+Lba CECT4529</a:t>
          </a:r>
          <a:r>
            <a:rPr lang="en-US" sz="1200" b="0"/>
            <a:t>)</a:t>
          </a:r>
        </a:p>
      </cdr:txBody>
    </cdr:sp>
  </cdr:relSizeAnchor>
</c:userShapes>
</file>

<file path=word/drawings/drawing43.xml><?xml version="1.0" encoding="utf-8"?>
<c:userShapes xmlns:c="http://schemas.openxmlformats.org/drawingml/2006/chart">
  <cdr:relSizeAnchor xmlns:cdr="http://schemas.openxmlformats.org/drawingml/2006/chartDrawing">
    <cdr:from>
      <cdr:x>0.22302</cdr:x>
      <cdr:y>0</cdr:y>
    </cdr:from>
    <cdr:to>
      <cdr:x>0.94964</cdr:x>
      <cdr:y>0.11765</cdr:y>
    </cdr:to>
    <cdr:sp macro="" textlink="">
      <cdr:nvSpPr>
        <cdr:cNvPr id="3" name="ZoneTexte 2"/>
        <cdr:cNvSpPr txBox="1"/>
      </cdr:nvSpPr>
      <cdr:spPr>
        <a:xfrm xmlns:a="http://schemas.openxmlformats.org/drawingml/2006/main">
          <a:off x="590550" y="0"/>
          <a:ext cx="1924050" cy="28575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marL="0" marR="0" indent="0" algn="ctr" defTabSz="914400" rtl="0" eaLnBrk="1" fontAlgn="auto" latinLnBrk="0" hangingPunct="1">
            <a:lnSpc>
              <a:spcPct val="100000"/>
            </a:lnSpc>
            <a:spcBef>
              <a:spcPts val="0"/>
            </a:spcBef>
            <a:spcAft>
              <a:spcPts val="0"/>
            </a:spcAft>
            <a:buClrTx/>
            <a:buSzTx/>
            <a:buFontTx/>
            <a:buNone/>
            <a:tabLst/>
            <a:defRPr/>
          </a:pPr>
          <a:r>
            <a:rPr lang="en-US" sz="1100" b="0">
              <a:latin typeface="Times New Roman" pitchFamily="18" charset="0"/>
              <a:cs typeface="Times New Roman" pitchFamily="18" charset="0"/>
            </a:rPr>
            <a:t>Viabilité </a:t>
          </a:r>
          <a:r>
            <a:rPr lang="en-US" sz="1100" b="1">
              <a:latin typeface="Times New Roman" pitchFamily="18" charset="0"/>
              <a:cs typeface="Times New Roman" pitchFamily="18" charset="0"/>
            </a:rPr>
            <a:t>St</a:t>
          </a:r>
          <a:r>
            <a:rPr lang="en-US" sz="1100" b="0">
              <a:latin typeface="Times New Roman" pitchFamily="18" charset="0"/>
              <a:cs typeface="Times New Roman" pitchFamily="18" charset="0"/>
            </a:rPr>
            <a:t> (+Bb12)</a:t>
          </a:r>
        </a:p>
        <a:p xmlns:a="http://schemas.openxmlformats.org/drawingml/2006/main">
          <a:endParaRPr lang="fr-FR" sz="1100"/>
        </a:p>
      </cdr:txBody>
    </cdr:sp>
  </cdr:relSizeAnchor>
</c:userShapes>
</file>

<file path=word/drawings/drawing44.xml><?xml version="1.0" encoding="utf-8"?>
<c:userShapes xmlns:c="http://schemas.openxmlformats.org/drawingml/2006/chart">
  <cdr:relSizeAnchor xmlns:cdr="http://schemas.openxmlformats.org/drawingml/2006/chartDrawing">
    <cdr:from>
      <cdr:x>0.20305</cdr:x>
      <cdr:y>0.00899</cdr:y>
    </cdr:from>
    <cdr:to>
      <cdr:x>1</cdr:x>
      <cdr:y>0.13936</cdr:y>
    </cdr:to>
    <cdr:sp macro="" textlink="">
      <cdr:nvSpPr>
        <cdr:cNvPr id="3" name="ZoneTexte 2"/>
        <cdr:cNvSpPr txBox="1"/>
      </cdr:nvSpPr>
      <cdr:spPr>
        <a:xfrm xmlns:a="http://schemas.openxmlformats.org/drawingml/2006/main">
          <a:off x="490855" y="19050"/>
          <a:ext cx="1926590" cy="276225"/>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algn="ctr" rtl="0">
            <a:defRPr sz="1000" b="1" i="0" u="none" strike="noStrike" kern="1200" baseline="0">
              <a:solidFill>
                <a:srgbClr val="000000"/>
              </a:solidFill>
              <a:latin typeface="Times New Roman"/>
              <a:ea typeface="Times New Roman"/>
              <a:cs typeface="Times New Roman"/>
            </a:defRPr>
          </a:pPr>
          <a:r>
            <a:rPr lang="fr-FR" sz="1100" b="0"/>
            <a:t>Viabilité </a:t>
          </a:r>
          <a:r>
            <a:rPr lang="fr-FR" sz="1100" b="1"/>
            <a:t>St</a:t>
          </a:r>
          <a:r>
            <a:rPr lang="fr-FR" sz="1100" b="0"/>
            <a:t> (+LbRE-LSAS)</a:t>
          </a:r>
        </a:p>
      </cdr:txBody>
    </cdr:sp>
  </cdr:relSizeAnchor>
</c:userShapes>
</file>

<file path=word/drawings/drawing45.xml><?xml version="1.0" encoding="utf-8"?>
<c:userShapes xmlns:c="http://schemas.openxmlformats.org/drawingml/2006/chart">
  <cdr:relSizeAnchor xmlns:cdr="http://schemas.openxmlformats.org/drawingml/2006/chartDrawing">
    <cdr:from>
      <cdr:x>0.24549</cdr:x>
      <cdr:y>0</cdr:y>
    </cdr:from>
    <cdr:to>
      <cdr:x>0.95933</cdr:x>
      <cdr:y>0.132</cdr:y>
    </cdr:to>
    <cdr:sp macro="" textlink="">
      <cdr:nvSpPr>
        <cdr:cNvPr id="3" name="ZoneTexte 2"/>
        <cdr:cNvSpPr txBox="1"/>
      </cdr:nvSpPr>
      <cdr:spPr>
        <a:xfrm xmlns:a="http://schemas.openxmlformats.org/drawingml/2006/main">
          <a:off x="647700" y="0"/>
          <a:ext cx="1883410" cy="314325"/>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en-US" sz="1100" b="0">
              <a:latin typeface="Times New Roman" pitchFamily="18" charset="0"/>
              <a:cs typeface="Times New Roman" pitchFamily="18" charset="0"/>
            </a:rPr>
            <a:t>Viabilité </a:t>
          </a:r>
          <a:r>
            <a:rPr lang="en-US" sz="1100" b="1">
              <a:latin typeface="Times New Roman" pitchFamily="18" charset="0"/>
              <a:cs typeface="Times New Roman" pitchFamily="18" charset="0"/>
            </a:rPr>
            <a:t>St</a:t>
          </a:r>
          <a:r>
            <a:rPr lang="en-US" sz="1100" b="0">
              <a:latin typeface="Times New Roman" pitchFamily="18" charset="0"/>
              <a:cs typeface="Times New Roman" pitchFamily="18" charset="0"/>
            </a:rPr>
            <a:t> (+BLR)</a:t>
          </a:r>
          <a:endParaRPr lang="fr-FR" sz="1100">
            <a:latin typeface="Times New Roman" pitchFamily="18" charset="0"/>
            <a:cs typeface="Times New Roman" pitchFamily="18" charset="0"/>
          </a:endParaRPr>
        </a:p>
      </cdr:txBody>
    </cdr:sp>
  </cdr:relSizeAnchor>
</c:userShapes>
</file>

<file path=word/drawings/drawing46.xml><?xml version="1.0" encoding="utf-8"?>
<c:userShapes xmlns:c="http://schemas.openxmlformats.org/drawingml/2006/chart">
  <cdr:relSizeAnchor xmlns:cdr="http://schemas.openxmlformats.org/drawingml/2006/chartDrawing">
    <cdr:from>
      <cdr:x>0.28913</cdr:x>
      <cdr:y>0</cdr:y>
    </cdr:from>
    <cdr:to>
      <cdr:x>0.87124</cdr:x>
      <cdr:y>0.17505</cdr:y>
    </cdr:to>
    <cdr:sp macro="" textlink="">
      <cdr:nvSpPr>
        <cdr:cNvPr id="3" name="ZoneTexte 2"/>
        <cdr:cNvSpPr txBox="1"/>
      </cdr:nvSpPr>
      <cdr:spPr>
        <a:xfrm xmlns:a="http://schemas.openxmlformats.org/drawingml/2006/main">
          <a:off x="714375" y="0"/>
          <a:ext cx="1438275" cy="428625"/>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endParaRPr lang="fr-FR" sz="1100"/>
        </a:p>
      </cdr:txBody>
    </cdr:sp>
  </cdr:relSizeAnchor>
  <cdr:relSizeAnchor xmlns:cdr="http://schemas.openxmlformats.org/drawingml/2006/chartDrawing">
    <cdr:from>
      <cdr:x>0.24287</cdr:x>
      <cdr:y>0.02334</cdr:y>
    </cdr:from>
    <cdr:to>
      <cdr:x>0.89823</cdr:x>
      <cdr:y>0.13615</cdr:y>
    </cdr:to>
    <cdr:sp macro="" textlink="">
      <cdr:nvSpPr>
        <cdr:cNvPr id="4" name="ZoneTexte 3"/>
        <cdr:cNvSpPr txBox="1"/>
      </cdr:nvSpPr>
      <cdr:spPr>
        <a:xfrm xmlns:a="http://schemas.openxmlformats.org/drawingml/2006/main">
          <a:off x="600075" y="57150"/>
          <a:ext cx="1619250" cy="276225"/>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algn="ctr" rtl="0">
            <a:defRPr sz="1000" b="1" i="0" u="none" strike="noStrike" kern="1200" baseline="0">
              <a:solidFill>
                <a:sysClr val="windowText" lastClr="000000"/>
              </a:solidFill>
              <a:latin typeface="Times New Roman" pitchFamily="18" charset="0"/>
              <a:ea typeface="+mn-ea"/>
              <a:cs typeface="Times New Roman" pitchFamily="18" charset="0"/>
            </a:defRPr>
          </a:pPr>
          <a:r>
            <a:rPr lang="en-US" sz="1100"/>
            <a:t>Lbp CECT748 + St</a:t>
          </a:r>
        </a:p>
      </cdr:txBody>
    </cdr:sp>
  </cdr:relSizeAnchor>
</c:userShapes>
</file>

<file path=word/drawings/drawing47.xml><?xml version="1.0" encoding="utf-8"?>
<c:userShapes xmlns:c="http://schemas.openxmlformats.org/drawingml/2006/chart">
  <cdr:relSizeAnchor xmlns:cdr="http://schemas.openxmlformats.org/drawingml/2006/chartDrawing">
    <cdr:from>
      <cdr:x>0.24152</cdr:x>
      <cdr:y>0.02335</cdr:y>
    </cdr:from>
    <cdr:to>
      <cdr:x>0.93634</cdr:x>
      <cdr:y>0.1284</cdr:y>
    </cdr:to>
    <cdr:sp macro="" textlink="">
      <cdr:nvSpPr>
        <cdr:cNvPr id="3" name="ZoneTexte 2"/>
        <cdr:cNvSpPr txBox="1"/>
      </cdr:nvSpPr>
      <cdr:spPr>
        <a:xfrm xmlns:a="http://schemas.openxmlformats.org/drawingml/2006/main">
          <a:off x="619125" y="57150"/>
          <a:ext cx="1781175" cy="257175"/>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marL="0" marR="0" indent="0" algn="ctr" defTabSz="914400" rtl="0" eaLnBrk="1" fontAlgn="auto" latinLnBrk="0" hangingPunct="1">
            <a:lnSpc>
              <a:spcPct val="100000"/>
            </a:lnSpc>
            <a:spcBef>
              <a:spcPts val="0"/>
            </a:spcBef>
            <a:spcAft>
              <a:spcPts val="0"/>
            </a:spcAft>
            <a:buClrTx/>
            <a:buSzTx/>
            <a:buFontTx/>
            <a:buNone/>
            <a:tabLst/>
            <a:defRPr/>
          </a:pPr>
          <a:r>
            <a:rPr lang="en-US" sz="1100" b="1">
              <a:latin typeface="Times New Roman" pitchFamily="18" charset="0"/>
              <a:cs typeface="Times New Roman" pitchFamily="18" charset="0"/>
            </a:rPr>
            <a:t>Lba CECT4529 + St</a:t>
          </a:r>
        </a:p>
        <a:p xmlns:a="http://schemas.openxmlformats.org/drawingml/2006/main">
          <a:endParaRPr lang="fr-FR" sz="1100"/>
        </a:p>
      </cdr:txBody>
    </cdr:sp>
  </cdr:relSizeAnchor>
</c:userShapes>
</file>

<file path=word/drawings/drawing48.xml><?xml version="1.0" encoding="utf-8"?>
<c:userShapes xmlns:c="http://schemas.openxmlformats.org/drawingml/2006/chart">
  <cdr:relSizeAnchor xmlns:cdr="http://schemas.openxmlformats.org/drawingml/2006/chartDrawing">
    <cdr:from>
      <cdr:x>0.17424</cdr:x>
      <cdr:y>0.01953</cdr:y>
    </cdr:from>
    <cdr:to>
      <cdr:x>0.95455</cdr:x>
      <cdr:y>0.125</cdr:y>
    </cdr:to>
    <cdr:sp macro="" textlink="">
      <cdr:nvSpPr>
        <cdr:cNvPr id="3" name="ZoneTexte 2"/>
        <cdr:cNvSpPr txBox="1"/>
      </cdr:nvSpPr>
      <cdr:spPr>
        <a:xfrm xmlns:a="http://schemas.openxmlformats.org/drawingml/2006/main">
          <a:off x="438151" y="47625"/>
          <a:ext cx="1962150" cy="257175"/>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endParaRPr lang="fr-FR" sz="1100"/>
        </a:p>
      </cdr:txBody>
    </cdr:sp>
  </cdr:relSizeAnchor>
  <cdr:relSizeAnchor xmlns:cdr="http://schemas.openxmlformats.org/drawingml/2006/chartDrawing">
    <cdr:from>
      <cdr:x>0.21212</cdr:x>
      <cdr:y>0.02344</cdr:y>
    </cdr:from>
    <cdr:to>
      <cdr:x>0.93182</cdr:x>
      <cdr:y>0.15234</cdr:y>
    </cdr:to>
    <cdr:sp macro="" textlink="">
      <cdr:nvSpPr>
        <cdr:cNvPr id="4" name="ZoneTexte 3"/>
        <cdr:cNvSpPr txBox="1"/>
      </cdr:nvSpPr>
      <cdr:spPr>
        <a:xfrm xmlns:a="http://schemas.openxmlformats.org/drawingml/2006/main">
          <a:off x="533400" y="57150"/>
          <a:ext cx="1809750" cy="314325"/>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marL="0" marR="0" indent="0" algn="ctr" defTabSz="914400" rtl="0" eaLnBrk="1" fontAlgn="auto" latinLnBrk="0" hangingPunct="1">
            <a:lnSpc>
              <a:spcPct val="100000"/>
            </a:lnSpc>
            <a:spcBef>
              <a:spcPts val="0"/>
            </a:spcBef>
            <a:spcAft>
              <a:spcPts val="0"/>
            </a:spcAft>
            <a:buClrTx/>
            <a:buSzTx/>
            <a:buFontTx/>
            <a:buNone/>
            <a:tabLst/>
            <a:defRPr/>
          </a:pPr>
          <a:r>
            <a:rPr lang="en-US" sz="1100" b="1">
              <a:latin typeface="Times New Roman" pitchFamily="18" charset="0"/>
              <a:cs typeface="Times New Roman" pitchFamily="18" charset="0"/>
            </a:rPr>
            <a:t>Bb12 + St</a:t>
          </a:r>
        </a:p>
        <a:p xmlns:a="http://schemas.openxmlformats.org/drawingml/2006/main">
          <a:endParaRPr lang="fr-FR" sz="1100"/>
        </a:p>
      </cdr:txBody>
    </cdr:sp>
  </cdr:relSizeAnchor>
</c:userShapes>
</file>

<file path=word/drawings/drawing49.xml><?xml version="1.0" encoding="utf-8"?>
<c:userShapes xmlns:c="http://schemas.openxmlformats.org/drawingml/2006/chart">
  <cdr:relSizeAnchor xmlns:cdr="http://schemas.openxmlformats.org/drawingml/2006/chartDrawing">
    <cdr:from>
      <cdr:x>0.21691</cdr:x>
      <cdr:y>0.00787</cdr:y>
    </cdr:from>
    <cdr:to>
      <cdr:x>0.94603</cdr:x>
      <cdr:y>0.12204</cdr:y>
    </cdr:to>
    <cdr:sp macro="" textlink="">
      <cdr:nvSpPr>
        <cdr:cNvPr id="3" name="ZoneTexte 2"/>
        <cdr:cNvSpPr txBox="1"/>
      </cdr:nvSpPr>
      <cdr:spPr>
        <a:xfrm xmlns:a="http://schemas.openxmlformats.org/drawingml/2006/main">
          <a:off x="535937" y="19050"/>
          <a:ext cx="1801498" cy="276217"/>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marL="0" marR="0" indent="0" algn="ctr" defTabSz="914400" rtl="0" eaLnBrk="1" fontAlgn="auto" latinLnBrk="0" hangingPunct="1">
            <a:lnSpc>
              <a:spcPct val="100000"/>
            </a:lnSpc>
            <a:spcBef>
              <a:spcPts val="0"/>
            </a:spcBef>
            <a:spcAft>
              <a:spcPts val="0"/>
            </a:spcAft>
            <a:buClrTx/>
            <a:buSzTx/>
            <a:buFontTx/>
            <a:buNone/>
            <a:tabLst/>
            <a:defRPr/>
          </a:pPr>
          <a:r>
            <a:rPr lang="fr-FR" sz="1100" b="1">
              <a:latin typeface="Times New Roman" pitchFamily="18" charset="0"/>
              <a:cs typeface="Times New Roman" pitchFamily="18" charset="0"/>
            </a:rPr>
            <a:t>LbRE-LSAS + St</a:t>
          </a:r>
        </a:p>
        <a:p xmlns:a="http://schemas.openxmlformats.org/drawingml/2006/main">
          <a:endParaRPr lang="fr-FR" sz="1100"/>
        </a:p>
      </cdr:txBody>
    </cdr:sp>
  </cdr:relSizeAnchor>
</c:userShapes>
</file>

<file path=word/drawings/drawing5.xml><?xml version="1.0" encoding="utf-8"?>
<c:userShapes xmlns:c="http://schemas.openxmlformats.org/drawingml/2006/chart">
  <cdr:relSizeAnchor xmlns:cdr="http://schemas.openxmlformats.org/drawingml/2006/chartDrawing">
    <cdr:from>
      <cdr:x>0.16824</cdr:x>
      <cdr:y>0</cdr:y>
    </cdr:from>
    <cdr:to>
      <cdr:x>1</cdr:x>
      <cdr:y>0.12889</cdr:y>
    </cdr:to>
    <cdr:sp macro="" textlink="">
      <cdr:nvSpPr>
        <cdr:cNvPr id="3" name="ZoneTexte 2"/>
        <cdr:cNvSpPr txBox="1"/>
      </cdr:nvSpPr>
      <cdr:spPr>
        <a:xfrm xmlns:a="http://schemas.openxmlformats.org/drawingml/2006/main">
          <a:off x="419100" y="0"/>
          <a:ext cx="2072005" cy="276225"/>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marL="0" marR="0" indent="0" algn="ctr" defTabSz="914400" rtl="0" eaLnBrk="1" fontAlgn="auto" latinLnBrk="0" hangingPunct="1">
            <a:lnSpc>
              <a:spcPct val="100000"/>
            </a:lnSpc>
            <a:spcBef>
              <a:spcPts val="0"/>
            </a:spcBef>
            <a:spcAft>
              <a:spcPts val="0"/>
            </a:spcAft>
            <a:buClrTx/>
            <a:buSzTx/>
            <a:buFontTx/>
            <a:buNone/>
            <a:tabLst/>
            <a:defRPr/>
          </a:pPr>
          <a:r>
            <a:rPr lang="fr-FR" sz="1100" b="0">
              <a:latin typeface="Times New Roman" pitchFamily="18" charset="0"/>
              <a:cs typeface="Times New Roman" pitchFamily="18" charset="0"/>
            </a:rPr>
            <a:t>Biomasse </a:t>
          </a:r>
          <a:r>
            <a:rPr lang="fr-FR" sz="1100" b="1">
              <a:latin typeface="Times New Roman" pitchFamily="18" charset="0"/>
              <a:cs typeface="Times New Roman" pitchFamily="18" charset="0"/>
            </a:rPr>
            <a:t>LbRE-LSAS</a:t>
          </a:r>
          <a:r>
            <a:rPr lang="fr-FR" sz="1100" b="0">
              <a:latin typeface="Times New Roman" pitchFamily="18" charset="0"/>
              <a:cs typeface="Times New Roman" pitchFamily="18" charset="0"/>
            </a:rPr>
            <a:t> (+St)</a:t>
          </a:r>
        </a:p>
        <a:p xmlns:a="http://schemas.openxmlformats.org/drawingml/2006/main">
          <a:endParaRPr lang="fr-FR" sz="1100"/>
        </a:p>
      </cdr:txBody>
    </cdr:sp>
  </cdr:relSizeAnchor>
</c:userShapes>
</file>

<file path=word/drawings/drawing50.xml><?xml version="1.0" encoding="utf-8"?>
<c:userShapes xmlns:c="http://schemas.openxmlformats.org/drawingml/2006/chart">
  <cdr:relSizeAnchor xmlns:cdr="http://schemas.openxmlformats.org/drawingml/2006/chartDrawing">
    <cdr:from>
      <cdr:x>0.26056</cdr:x>
      <cdr:y>0.03252</cdr:y>
    </cdr:from>
    <cdr:to>
      <cdr:x>0.77817</cdr:x>
      <cdr:y>0.42276</cdr:y>
    </cdr:to>
    <cdr:sp macro="" textlink="">
      <cdr:nvSpPr>
        <cdr:cNvPr id="3" name="ZoneTexte 2"/>
        <cdr:cNvSpPr txBox="1"/>
      </cdr:nvSpPr>
      <cdr:spPr>
        <a:xfrm xmlns:a="http://schemas.openxmlformats.org/drawingml/2006/main">
          <a:off x="704849" y="76200"/>
          <a:ext cx="1400175" cy="914400"/>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endParaRPr lang="fr-FR" sz="1100"/>
        </a:p>
      </cdr:txBody>
    </cdr:sp>
  </cdr:relSizeAnchor>
  <cdr:relSizeAnchor xmlns:cdr="http://schemas.openxmlformats.org/drawingml/2006/chartDrawing">
    <cdr:from>
      <cdr:x>0.32394</cdr:x>
      <cdr:y>0</cdr:y>
    </cdr:from>
    <cdr:to>
      <cdr:x>0.98239</cdr:x>
      <cdr:y>0.13821</cdr:y>
    </cdr:to>
    <cdr:sp macro="" textlink="">
      <cdr:nvSpPr>
        <cdr:cNvPr id="4" name="ZoneTexte 3"/>
        <cdr:cNvSpPr txBox="1"/>
      </cdr:nvSpPr>
      <cdr:spPr>
        <a:xfrm xmlns:a="http://schemas.openxmlformats.org/drawingml/2006/main">
          <a:off x="876300" y="0"/>
          <a:ext cx="1781175" cy="32385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endParaRPr lang="fr-FR" sz="1100"/>
        </a:p>
      </cdr:txBody>
    </cdr:sp>
  </cdr:relSizeAnchor>
  <cdr:relSizeAnchor xmlns:cdr="http://schemas.openxmlformats.org/drawingml/2006/chartDrawing">
    <cdr:from>
      <cdr:x>0.38381</cdr:x>
      <cdr:y>0</cdr:y>
    </cdr:from>
    <cdr:to>
      <cdr:x>0.89484</cdr:x>
      <cdr:y>0.11382</cdr:y>
    </cdr:to>
    <cdr:sp macro="" textlink="">
      <cdr:nvSpPr>
        <cdr:cNvPr id="6" name="ZoneTexte 5"/>
        <cdr:cNvSpPr txBox="1"/>
      </cdr:nvSpPr>
      <cdr:spPr>
        <a:xfrm xmlns:a="http://schemas.openxmlformats.org/drawingml/2006/main">
          <a:off x="1038233" y="0"/>
          <a:ext cx="1382387" cy="266697"/>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fr-FR" sz="1100" b="1">
              <a:latin typeface="Times New Roman" pitchFamily="18" charset="0"/>
              <a:cs typeface="Times New Roman" pitchFamily="18" charset="0"/>
            </a:rPr>
            <a:t>BLR + St</a:t>
          </a:r>
        </a:p>
      </cdr:txBody>
    </cdr:sp>
  </cdr:relSizeAnchor>
</c:userShapes>
</file>

<file path=word/drawings/drawing51.xml><?xml version="1.0" encoding="utf-8"?>
<c:userShapes xmlns:c="http://schemas.openxmlformats.org/drawingml/2006/chart">
  <cdr:relSizeAnchor xmlns:cdr="http://schemas.openxmlformats.org/drawingml/2006/chartDrawing">
    <cdr:from>
      <cdr:x>0.09449</cdr:x>
      <cdr:y>0.01938</cdr:y>
    </cdr:from>
    <cdr:to>
      <cdr:x>1</cdr:x>
      <cdr:y>0.13178</cdr:y>
    </cdr:to>
    <cdr:sp macro="" textlink="">
      <cdr:nvSpPr>
        <cdr:cNvPr id="4" name="ZoneTexte 3"/>
        <cdr:cNvSpPr txBox="1"/>
      </cdr:nvSpPr>
      <cdr:spPr>
        <a:xfrm xmlns:a="http://schemas.openxmlformats.org/drawingml/2006/main">
          <a:off x="228601" y="43380"/>
          <a:ext cx="2190749" cy="251593"/>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fr-FR" sz="1050">
              <a:latin typeface="Times New Roman" pitchFamily="18" charset="0"/>
              <a:cs typeface="Times New Roman" pitchFamily="18" charset="0"/>
            </a:rPr>
            <a:t>Viabilité </a:t>
          </a:r>
          <a:r>
            <a:rPr lang="fr-FR" sz="1050" b="1">
              <a:latin typeface="Times New Roman" pitchFamily="18" charset="0"/>
              <a:cs typeface="Times New Roman" pitchFamily="18" charset="0"/>
            </a:rPr>
            <a:t>Lbp CECT748</a:t>
          </a:r>
          <a:r>
            <a:rPr lang="fr-FR" sz="1050">
              <a:latin typeface="Times New Roman" pitchFamily="18" charset="0"/>
              <a:cs typeface="Times New Roman" pitchFamily="18" charset="0"/>
            </a:rPr>
            <a:t>(+St + Lb</a:t>
          </a:r>
          <a:r>
            <a:rPr lang="fr-FR" sz="1050" baseline="-25000">
              <a:latin typeface="Times New Roman" pitchFamily="18" charset="0"/>
              <a:cs typeface="Times New Roman" pitchFamily="18" charset="0"/>
            </a:rPr>
            <a:t>b</a:t>
          </a:r>
          <a:r>
            <a:rPr lang="fr-FR" sz="1050">
              <a:latin typeface="Times New Roman" pitchFamily="18" charset="0"/>
              <a:cs typeface="Times New Roman" pitchFamily="18" charset="0"/>
            </a:rPr>
            <a:t>)</a:t>
          </a:r>
        </a:p>
      </cdr:txBody>
    </cdr:sp>
  </cdr:relSizeAnchor>
</c:userShapes>
</file>

<file path=word/drawings/drawing52.xml><?xml version="1.0" encoding="utf-8"?>
<c:userShapes xmlns:c="http://schemas.openxmlformats.org/drawingml/2006/chart">
  <cdr:relSizeAnchor xmlns:cdr="http://schemas.openxmlformats.org/drawingml/2006/chartDrawing">
    <cdr:from>
      <cdr:x>0.109</cdr:x>
      <cdr:y>0</cdr:y>
    </cdr:from>
    <cdr:to>
      <cdr:x>0.98101</cdr:x>
      <cdr:y>0.14516</cdr:y>
    </cdr:to>
    <cdr:sp macro="" textlink="">
      <cdr:nvSpPr>
        <cdr:cNvPr id="3" name="ZoneTexte 2"/>
        <cdr:cNvSpPr txBox="1"/>
      </cdr:nvSpPr>
      <cdr:spPr>
        <a:xfrm xmlns:a="http://schemas.openxmlformats.org/drawingml/2006/main">
          <a:off x="295275" y="0"/>
          <a:ext cx="2362199" cy="34290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marL="0" marR="0" indent="0" algn="ctr" defTabSz="914400" rtl="0" eaLnBrk="1" fontAlgn="auto" latinLnBrk="0" hangingPunct="1">
            <a:lnSpc>
              <a:spcPct val="100000"/>
            </a:lnSpc>
            <a:spcBef>
              <a:spcPts val="0"/>
            </a:spcBef>
            <a:spcAft>
              <a:spcPts val="0"/>
            </a:spcAft>
            <a:buClrTx/>
            <a:buSzTx/>
            <a:buFontTx/>
            <a:buNone/>
            <a:tabLst/>
            <a:defRPr/>
          </a:pPr>
          <a:r>
            <a:rPr lang="fr-FR" sz="1050" b="0">
              <a:latin typeface="Times New Roman" pitchFamily="18" charset="0"/>
              <a:cs typeface="Times New Roman" pitchFamily="18" charset="0"/>
            </a:rPr>
            <a:t>Viabilité </a:t>
          </a:r>
          <a:r>
            <a:rPr lang="fr-FR" sz="1050" b="1">
              <a:latin typeface="Times New Roman" pitchFamily="18" charset="0"/>
              <a:cs typeface="Times New Roman" pitchFamily="18" charset="0"/>
            </a:rPr>
            <a:t>Lba CECT4529</a:t>
          </a:r>
          <a:r>
            <a:rPr lang="fr-FR" sz="1050" b="0">
              <a:latin typeface="Times New Roman" pitchFamily="18" charset="0"/>
              <a:cs typeface="Times New Roman" pitchFamily="18" charset="0"/>
            </a:rPr>
            <a:t> (+St + Lb</a:t>
          </a:r>
          <a:r>
            <a:rPr lang="fr-FR" sz="1050" b="0" baseline="-25000">
              <a:latin typeface="Times New Roman" pitchFamily="18" charset="0"/>
              <a:cs typeface="Times New Roman" pitchFamily="18" charset="0"/>
            </a:rPr>
            <a:t>b</a:t>
          </a:r>
          <a:r>
            <a:rPr lang="fr-FR" sz="1050" b="0">
              <a:latin typeface="Times New Roman" pitchFamily="18" charset="0"/>
              <a:cs typeface="Times New Roman" pitchFamily="18" charset="0"/>
            </a:rPr>
            <a:t>)</a:t>
          </a:r>
        </a:p>
        <a:p xmlns:a="http://schemas.openxmlformats.org/drawingml/2006/main">
          <a:endParaRPr lang="fr-FR" sz="1100"/>
        </a:p>
      </cdr:txBody>
    </cdr:sp>
  </cdr:relSizeAnchor>
</c:userShapes>
</file>

<file path=word/drawings/drawing53.xml><?xml version="1.0" encoding="utf-8"?>
<c:userShapes xmlns:c="http://schemas.openxmlformats.org/drawingml/2006/chart">
  <cdr:relSizeAnchor xmlns:cdr="http://schemas.openxmlformats.org/drawingml/2006/chartDrawing">
    <cdr:from>
      <cdr:x>0.21201</cdr:x>
      <cdr:y>0</cdr:y>
    </cdr:from>
    <cdr:to>
      <cdr:x>0.9576</cdr:x>
      <cdr:y>0.12903</cdr:y>
    </cdr:to>
    <cdr:sp macro="" textlink="">
      <cdr:nvSpPr>
        <cdr:cNvPr id="3" name="ZoneTexte 2"/>
        <cdr:cNvSpPr txBox="1"/>
      </cdr:nvSpPr>
      <cdr:spPr>
        <a:xfrm xmlns:a="http://schemas.openxmlformats.org/drawingml/2006/main">
          <a:off x="571500" y="0"/>
          <a:ext cx="2009775" cy="30480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marL="0" marR="0" indent="0" algn="ctr" defTabSz="914400" rtl="0" eaLnBrk="1" fontAlgn="auto" latinLnBrk="0" hangingPunct="1">
            <a:lnSpc>
              <a:spcPct val="100000"/>
            </a:lnSpc>
            <a:spcBef>
              <a:spcPts val="0"/>
            </a:spcBef>
            <a:spcAft>
              <a:spcPts val="0"/>
            </a:spcAft>
            <a:buClrTx/>
            <a:buSzTx/>
            <a:buFontTx/>
            <a:buNone/>
            <a:tabLst/>
            <a:defRPr/>
          </a:pPr>
          <a:r>
            <a:rPr lang="en-US" sz="1100" b="0">
              <a:latin typeface="Times New Roman" pitchFamily="18" charset="0"/>
              <a:cs typeface="Times New Roman" pitchFamily="18" charset="0"/>
            </a:rPr>
            <a:t>Viabilité </a:t>
          </a:r>
          <a:r>
            <a:rPr lang="en-US" sz="1100" b="1">
              <a:latin typeface="Times New Roman" pitchFamily="18" charset="0"/>
              <a:cs typeface="Times New Roman" pitchFamily="18" charset="0"/>
            </a:rPr>
            <a:t>Bb12</a:t>
          </a:r>
          <a:r>
            <a:rPr lang="en-US" sz="1100" b="0">
              <a:latin typeface="Times New Roman" pitchFamily="18" charset="0"/>
              <a:cs typeface="Times New Roman" pitchFamily="18" charset="0"/>
            </a:rPr>
            <a:t> (+St + Lb</a:t>
          </a:r>
          <a:r>
            <a:rPr lang="en-US" sz="1100" b="0" baseline="-25000">
              <a:latin typeface="Times New Roman" pitchFamily="18" charset="0"/>
              <a:cs typeface="Times New Roman" pitchFamily="18" charset="0"/>
            </a:rPr>
            <a:t>b</a:t>
          </a:r>
          <a:r>
            <a:rPr lang="en-US" sz="1100" b="0">
              <a:latin typeface="Times New Roman" pitchFamily="18" charset="0"/>
              <a:cs typeface="Times New Roman" pitchFamily="18" charset="0"/>
            </a:rPr>
            <a:t>)</a:t>
          </a:r>
        </a:p>
        <a:p xmlns:a="http://schemas.openxmlformats.org/drawingml/2006/main">
          <a:endParaRPr lang="fr-FR" sz="1100"/>
        </a:p>
      </cdr:txBody>
    </cdr:sp>
  </cdr:relSizeAnchor>
</c:userShapes>
</file>

<file path=word/drawings/drawing54.xml><?xml version="1.0" encoding="utf-8"?>
<c:userShapes xmlns:c="http://schemas.openxmlformats.org/drawingml/2006/chart">
  <cdr:relSizeAnchor xmlns:cdr="http://schemas.openxmlformats.org/drawingml/2006/chartDrawing">
    <cdr:from>
      <cdr:x>0.10168</cdr:x>
      <cdr:y>0</cdr:y>
    </cdr:from>
    <cdr:to>
      <cdr:x>1</cdr:x>
      <cdr:y>0.1267</cdr:y>
    </cdr:to>
    <cdr:sp macro="" textlink="">
      <cdr:nvSpPr>
        <cdr:cNvPr id="3" name="ZoneTexte 2"/>
        <cdr:cNvSpPr txBox="1"/>
      </cdr:nvSpPr>
      <cdr:spPr>
        <a:xfrm xmlns:a="http://schemas.openxmlformats.org/drawingml/2006/main">
          <a:off x="238125" y="0"/>
          <a:ext cx="2103755" cy="26670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marL="0" marR="0" indent="0" algn="ctr" defTabSz="914400" rtl="0" eaLnBrk="1" fontAlgn="auto" latinLnBrk="0" hangingPunct="1">
            <a:lnSpc>
              <a:spcPct val="100000"/>
            </a:lnSpc>
            <a:spcBef>
              <a:spcPts val="0"/>
            </a:spcBef>
            <a:spcAft>
              <a:spcPts val="0"/>
            </a:spcAft>
            <a:buClrTx/>
            <a:buSzTx/>
            <a:buFontTx/>
            <a:buNone/>
            <a:tabLst/>
            <a:defRPr/>
          </a:pPr>
          <a:r>
            <a:rPr lang="en-US" sz="1100" b="0">
              <a:latin typeface="Times New Roman" pitchFamily="18" charset="0"/>
              <a:cs typeface="Times New Roman" pitchFamily="18" charset="0"/>
            </a:rPr>
            <a:t>Viabilité </a:t>
          </a:r>
          <a:r>
            <a:rPr lang="en-US" sz="1100" b="1">
              <a:latin typeface="Times New Roman" pitchFamily="18" charset="0"/>
              <a:cs typeface="Times New Roman" pitchFamily="18" charset="0"/>
            </a:rPr>
            <a:t>LbRE-LSAS</a:t>
          </a:r>
          <a:r>
            <a:rPr lang="en-US" sz="1100" b="0">
              <a:latin typeface="Times New Roman" pitchFamily="18" charset="0"/>
              <a:cs typeface="Times New Roman" pitchFamily="18" charset="0"/>
            </a:rPr>
            <a:t> (+St + Lb</a:t>
          </a:r>
          <a:r>
            <a:rPr lang="en-US" sz="1100" b="0" baseline="-25000">
              <a:latin typeface="Times New Roman" pitchFamily="18" charset="0"/>
              <a:cs typeface="Times New Roman" pitchFamily="18" charset="0"/>
            </a:rPr>
            <a:t>b</a:t>
          </a:r>
          <a:r>
            <a:rPr lang="en-US" sz="1100" b="0">
              <a:latin typeface="Times New Roman" pitchFamily="18" charset="0"/>
              <a:cs typeface="Times New Roman" pitchFamily="18" charset="0"/>
            </a:rPr>
            <a:t>)</a:t>
          </a:r>
          <a:endParaRPr lang="fr-FR" sz="1100"/>
        </a:p>
      </cdr:txBody>
    </cdr:sp>
  </cdr:relSizeAnchor>
</c:userShapes>
</file>

<file path=word/drawings/drawing55.xml><?xml version="1.0" encoding="utf-8"?>
<c:userShapes xmlns:c="http://schemas.openxmlformats.org/drawingml/2006/chart">
  <cdr:relSizeAnchor xmlns:cdr="http://schemas.openxmlformats.org/drawingml/2006/chartDrawing">
    <cdr:from>
      <cdr:x>0.2388</cdr:x>
      <cdr:y>0</cdr:y>
    </cdr:from>
    <cdr:to>
      <cdr:x>0.92579</cdr:x>
      <cdr:y>0.12045</cdr:y>
    </cdr:to>
    <cdr:sp macro="" textlink="">
      <cdr:nvSpPr>
        <cdr:cNvPr id="3" name="ZoneTexte 2"/>
        <cdr:cNvSpPr txBox="1"/>
      </cdr:nvSpPr>
      <cdr:spPr>
        <a:xfrm xmlns:a="http://schemas.openxmlformats.org/drawingml/2006/main">
          <a:off x="619125" y="0"/>
          <a:ext cx="1781175" cy="26670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marL="0" marR="0" indent="0" algn="ctr" defTabSz="914400" rtl="0" eaLnBrk="1" fontAlgn="auto" latinLnBrk="0" hangingPunct="1">
            <a:lnSpc>
              <a:spcPct val="100000"/>
            </a:lnSpc>
            <a:spcBef>
              <a:spcPts val="0"/>
            </a:spcBef>
            <a:spcAft>
              <a:spcPts val="0"/>
            </a:spcAft>
            <a:buClrTx/>
            <a:buSzTx/>
            <a:buFontTx/>
            <a:buNone/>
            <a:tabLst/>
            <a:defRPr/>
          </a:pPr>
          <a:r>
            <a:rPr lang="fr-FR" sz="1100" b="0">
              <a:latin typeface="Times New Roman" pitchFamily="18" charset="0"/>
              <a:cs typeface="Times New Roman" pitchFamily="18" charset="0"/>
            </a:rPr>
            <a:t>Viabilité </a:t>
          </a:r>
          <a:r>
            <a:rPr lang="fr-FR" sz="1100" b="1">
              <a:latin typeface="Times New Roman" pitchFamily="18" charset="0"/>
              <a:cs typeface="Times New Roman" pitchFamily="18" charset="0"/>
            </a:rPr>
            <a:t>BLR</a:t>
          </a:r>
          <a:r>
            <a:rPr lang="fr-FR" sz="1100" b="0">
              <a:latin typeface="Times New Roman" pitchFamily="18" charset="0"/>
              <a:cs typeface="Times New Roman" pitchFamily="18" charset="0"/>
            </a:rPr>
            <a:t> (+St + Lb</a:t>
          </a:r>
          <a:r>
            <a:rPr lang="fr-FR" sz="1100" b="0" baseline="-25000">
              <a:latin typeface="Times New Roman" pitchFamily="18" charset="0"/>
              <a:cs typeface="Times New Roman" pitchFamily="18" charset="0"/>
            </a:rPr>
            <a:t>b</a:t>
          </a:r>
          <a:r>
            <a:rPr lang="fr-FR" sz="1100" b="0">
              <a:latin typeface="Times New Roman" pitchFamily="18" charset="0"/>
              <a:cs typeface="Times New Roman" pitchFamily="18" charset="0"/>
            </a:rPr>
            <a:t>)</a:t>
          </a:r>
          <a:endParaRPr lang="fr-FR" sz="1100">
            <a:latin typeface="Times New Roman" pitchFamily="18" charset="0"/>
            <a:cs typeface="Times New Roman" pitchFamily="18" charset="0"/>
          </a:endParaRPr>
        </a:p>
      </cdr:txBody>
    </cdr:sp>
  </cdr:relSizeAnchor>
</c:userShapes>
</file>

<file path=word/drawings/drawing56.xml><?xml version="1.0" encoding="utf-8"?>
<c:userShapes xmlns:c="http://schemas.openxmlformats.org/drawingml/2006/chart">
  <cdr:relSizeAnchor xmlns:cdr="http://schemas.openxmlformats.org/drawingml/2006/chartDrawing">
    <cdr:from>
      <cdr:x>0.10164</cdr:x>
      <cdr:y>0</cdr:y>
    </cdr:from>
    <cdr:to>
      <cdr:x>1</cdr:x>
      <cdr:y>0.14348</cdr:y>
    </cdr:to>
    <cdr:sp macro="" textlink="">
      <cdr:nvSpPr>
        <cdr:cNvPr id="3" name="ZoneTexte 2"/>
        <cdr:cNvSpPr txBox="1"/>
      </cdr:nvSpPr>
      <cdr:spPr>
        <a:xfrm xmlns:a="http://schemas.openxmlformats.org/drawingml/2006/main">
          <a:off x="247650" y="0"/>
          <a:ext cx="2188845" cy="296654"/>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marL="0" marR="0" indent="0" algn="ctr" defTabSz="914400" rtl="0" eaLnBrk="1" fontAlgn="auto" latinLnBrk="0" hangingPunct="1">
            <a:lnSpc>
              <a:spcPct val="100000"/>
            </a:lnSpc>
            <a:spcBef>
              <a:spcPts val="0"/>
            </a:spcBef>
            <a:spcAft>
              <a:spcPts val="0"/>
            </a:spcAft>
            <a:buClrTx/>
            <a:buSzTx/>
            <a:buFontTx/>
            <a:buNone/>
            <a:tabLst/>
            <a:defRPr/>
          </a:pPr>
          <a:r>
            <a:rPr lang="en-US" sz="1100" b="0">
              <a:latin typeface="Times New Roman" pitchFamily="18" charset="0"/>
              <a:cs typeface="Times New Roman" pitchFamily="18" charset="0"/>
            </a:rPr>
            <a:t>Viabilité </a:t>
          </a:r>
          <a:r>
            <a:rPr lang="en-US" sz="1100" b="1">
              <a:latin typeface="Times New Roman" pitchFamily="18" charset="0"/>
              <a:cs typeface="Times New Roman" pitchFamily="18" charset="0"/>
            </a:rPr>
            <a:t>St</a:t>
          </a:r>
          <a:r>
            <a:rPr lang="en-US" sz="1100" b="0">
              <a:latin typeface="Times New Roman" pitchFamily="18" charset="0"/>
              <a:cs typeface="Times New Roman" pitchFamily="18" charset="0"/>
            </a:rPr>
            <a:t> (+LbRE-LSAS + Lb</a:t>
          </a:r>
          <a:r>
            <a:rPr lang="en-US" sz="1100" b="0" baseline="-25000">
              <a:latin typeface="Times New Roman" pitchFamily="18" charset="0"/>
              <a:cs typeface="Times New Roman" pitchFamily="18" charset="0"/>
            </a:rPr>
            <a:t>b</a:t>
          </a:r>
          <a:r>
            <a:rPr lang="en-US" sz="1100" b="0">
              <a:latin typeface="Times New Roman" pitchFamily="18" charset="0"/>
              <a:cs typeface="Times New Roman" pitchFamily="18" charset="0"/>
            </a:rPr>
            <a:t>)</a:t>
          </a:r>
        </a:p>
        <a:p xmlns:a="http://schemas.openxmlformats.org/drawingml/2006/main">
          <a:endParaRPr lang="fr-FR" sz="1100"/>
        </a:p>
      </cdr:txBody>
    </cdr:sp>
  </cdr:relSizeAnchor>
</c:userShapes>
</file>

<file path=word/drawings/drawing57.xml><?xml version="1.0" encoding="utf-8"?>
<c:userShapes xmlns:c="http://schemas.openxmlformats.org/drawingml/2006/chart">
  <cdr:relSizeAnchor xmlns:cdr="http://schemas.openxmlformats.org/drawingml/2006/chartDrawing">
    <cdr:from>
      <cdr:x>0.25275</cdr:x>
      <cdr:y>0</cdr:y>
    </cdr:from>
    <cdr:to>
      <cdr:x>0.97436</cdr:x>
      <cdr:y>0.11716</cdr:y>
    </cdr:to>
    <cdr:sp macro="" textlink="">
      <cdr:nvSpPr>
        <cdr:cNvPr id="3" name="ZoneTexte 2"/>
        <cdr:cNvSpPr txBox="1"/>
      </cdr:nvSpPr>
      <cdr:spPr>
        <a:xfrm xmlns:a="http://schemas.openxmlformats.org/drawingml/2006/main">
          <a:off x="657229" y="0"/>
          <a:ext cx="1876421" cy="266711"/>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marL="0" marR="0" indent="0" algn="ctr" defTabSz="914400" rtl="0" eaLnBrk="1" fontAlgn="auto" latinLnBrk="0" hangingPunct="1">
            <a:lnSpc>
              <a:spcPct val="100000"/>
            </a:lnSpc>
            <a:spcBef>
              <a:spcPts val="0"/>
            </a:spcBef>
            <a:spcAft>
              <a:spcPts val="0"/>
            </a:spcAft>
            <a:buClrTx/>
            <a:buSzTx/>
            <a:buFontTx/>
            <a:buNone/>
            <a:tabLst/>
            <a:defRPr/>
          </a:pPr>
          <a:r>
            <a:rPr lang="fr-FR" sz="1100" b="0">
              <a:latin typeface="Times New Roman" pitchFamily="18" charset="0"/>
              <a:cs typeface="Times New Roman" pitchFamily="18" charset="0"/>
            </a:rPr>
            <a:t>Viabilité </a:t>
          </a:r>
          <a:r>
            <a:rPr lang="fr-FR" sz="1100" b="1">
              <a:latin typeface="Times New Roman" pitchFamily="18" charset="0"/>
              <a:cs typeface="Times New Roman" pitchFamily="18" charset="0"/>
            </a:rPr>
            <a:t>St</a:t>
          </a:r>
          <a:r>
            <a:rPr lang="fr-FR" sz="1100" b="0">
              <a:latin typeface="Times New Roman" pitchFamily="18" charset="0"/>
              <a:cs typeface="Times New Roman" pitchFamily="18" charset="0"/>
            </a:rPr>
            <a:t> (+BLR + Lb</a:t>
          </a:r>
          <a:r>
            <a:rPr lang="fr-FR" sz="1100" b="0" baseline="-25000">
              <a:latin typeface="Times New Roman" pitchFamily="18" charset="0"/>
              <a:cs typeface="Times New Roman" pitchFamily="18" charset="0"/>
            </a:rPr>
            <a:t>b</a:t>
          </a:r>
          <a:r>
            <a:rPr lang="fr-FR" sz="1100" b="0">
              <a:latin typeface="Times New Roman" pitchFamily="18" charset="0"/>
              <a:cs typeface="Times New Roman" pitchFamily="18" charset="0"/>
            </a:rPr>
            <a:t>)</a:t>
          </a:r>
        </a:p>
        <a:p xmlns:a="http://schemas.openxmlformats.org/drawingml/2006/main">
          <a:endParaRPr lang="fr-FR" sz="1100"/>
        </a:p>
      </cdr:txBody>
    </cdr:sp>
  </cdr:relSizeAnchor>
</c:userShapes>
</file>

<file path=word/drawings/drawing58.xml><?xml version="1.0" encoding="utf-8"?>
<c:userShapes xmlns:c="http://schemas.openxmlformats.org/drawingml/2006/chart">
  <cdr:relSizeAnchor xmlns:cdr="http://schemas.openxmlformats.org/drawingml/2006/chartDrawing">
    <cdr:from>
      <cdr:x>0.61176</cdr:x>
      <cdr:y>0.59494</cdr:y>
    </cdr:from>
    <cdr:to>
      <cdr:x>0.98824</cdr:x>
      <cdr:y>1</cdr:y>
    </cdr:to>
    <cdr:sp macro="" textlink="">
      <cdr:nvSpPr>
        <cdr:cNvPr id="3" name="ZoneTexte 2"/>
        <cdr:cNvSpPr txBox="1"/>
      </cdr:nvSpPr>
      <cdr:spPr>
        <a:xfrm xmlns:a="http://schemas.openxmlformats.org/drawingml/2006/main">
          <a:off x="1485900" y="1895475"/>
          <a:ext cx="914400" cy="914400"/>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endParaRPr lang="fr-FR" sz="1100"/>
        </a:p>
      </cdr:txBody>
    </cdr:sp>
  </cdr:relSizeAnchor>
  <cdr:relSizeAnchor xmlns:cdr="http://schemas.openxmlformats.org/drawingml/2006/chartDrawing">
    <cdr:from>
      <cdr:x>0.10171</cdr:x>
      <cdr:y>0</cdr:y>
    </cdr:from>
    <cdr:to>
      <cdr:x>1</cdr:x>
      <cdr:y>0.13924</cdr:y>
    </cdr:to>
    <cdr:sp macro="" textlink="">
      <cdr:nvSpPr>
        <cdr:cNvPr id="4" name="ZoneTexte 3"/>
        <cdr:cNvSpPr txBox="1"/>
      </cdr:nvSpPr>
      <cdr:spPr>
        <a:xfrm xmlns:a="http://schemas.openxmlformats.org/drawingml/2006/main">
          <a:off x="238125" y="0"/>
          <a:ext cx="2103120" cy="291777"/>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marL="0" marR="0" indent="0" algn="ctr" defTabSz="914400" rtl="0" eaLnBrk="1" fontAlgn="auto" latinLnBrk="0" hangingPunct="1">
            <a:lnSpc>
              <a:spcPct val="100000"/>
            </a:lnSpc>
            <a:spcBef>
              <a:spcPts val="0"/>
            </a:spcBef>
            <a:spcAft>
              <a:spcPts val="0"/>
            </a:spcAft>
            <a:buClrTx/>
            <a:buSzTx/>
            <a:buFontTx/>
            <a:buNone/>
            <a:tabLst/>
            <a:defRPr/>
          </a:pPr>
          <a:r>
            <a:rPr lang="en-US" sz="1100" b="0">
              <a:latin typeface="Times New Roman" pitchFamily="18" charset="0"/>
              <a:cs typeface="Times New Roman" pitchFamily="18" charset="0"/>
            </a:rPr>
            <a:t>Viabilité </a:t>
          </a:r>
          <a:r>
            <a:rPr lang="en-US" sz="1100" b="1">
              <a:latin typeface="Times New Roman" pitchFamily="18" charset="0"/>
              <a:cs typeface="Times New Roman" pitchFamily="18" charset="0"/>
            </a:rPr>
            <a:t>St</a:t>
          </a:r>
          <a:r>
            <a:rPr lang="en-US" sz="1100" b="0">
              <a:latin typeface="Times New Roman" pitchFamily="18" charset="0"/>
              <a:cs typeface="Times New Roman" pitchFamily="18" charset="0"/>
            </a:rPr>
            <a:t> (Lbp CECT748 + Lb</a:t>
          </a:r>
          <a:r>
            <a:rPr lang="en-US" sz="1100" b="0" baseline="-25000">
              <a:latin typeface="Times New Roman" pitchFamily="18" charset="0"/>
              <a:cs typeface="Times New Roman" pitchFamily="18" charset="0"/>
            </a:rPr>
            <a:t>b</a:t>
          </a:r>
          <a:r>
            <a:rPr lang="en-US" sz="1100" b="0">
              <a:latin typeface="Times New Roman" pitchFamily="18" charset="0"/>
              <a:cs typeface="Times New Roman" pitchFamily="18" charset="0"/>
            </a:rPr>
            <a:t>)</a:t>
          </a:r>
        </a:p>
        <a:p xmlns:a="http://schemas.openxmlformats.org/drawingml/2006/main">
          <a:endParaRPr lang="fr-FR" sz="1100"/>
        </a:p>
      </cdr:txBody>
    </cdr:sp>
  </cdr:relSizeAnchor>
</c:userShapes>
</file>

<file path=word/drawings/drawing59.xml><?xml version="1.0" encoding="utf-8"?>
<c:userShapes xmlns:c="http://schemas.openxmlformats.org/drawingml/2006/chart">
  <cdr:relSizeAnchor xmlns:cdr="http://schemas.openxmlformats.org/drawingml/2006/chartDrawing">
    <cdr:from>
      <cdr:x>0.08961</cdr:x>
      <cdr:y>0</cdr:y>
    </cdr:from>
    <cdr:to>
      <cdr:x>1</cdr:x>
      <cdr:y>0.125</cdr:y>
    </cdr:to>
    <cdr:sp macro="" textlink="">
      <cdr:nvSpPr>
        <cdr:cNvPr id="3" name="ZoneTexte 2"/>
        <cdr:cNvSpPr txBox="1"/>
      </cdr:nvSpPr>
      <cdr:spPr>
        <a:xfrm xmlns:a="http://schemas.openxmlformats.org/drawingml/2006/main">
          <a:off x="238136" y="0"/>
          <a:ext cx="2419339" cy="276225"/>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marL="0" marR="0" indent="0" algn="ctr" defTabSz="914400" rtl="0" eaLnBrk="1" fontAlgn="auto" latinLnBrk="0" hangingPunct="1">
            <a:lnSpc>
              <a:spcPct val="100000"/>
            </a:lnSpc>
            <a:spcBef>
              <a:spcPts val="0"/>
            </a:spcBef>
            <a:spcAft>
              <a:spcPts val="0"/>
            </a:spcAft>
            <a:buClrTx/>
            <a:buSzTx/>
            <a:buFontTx/>
            <a:buNone/>
            <a:tabLst/>
            <a:defRPr/>
          </a:pPr>
          <a:r>
            <a:rPr lang="fr-FR" sz="1100" b="0">
              <a:latin typeface="Times New Roman" pitchFamily="18" charset="0"/>
              <a:cs typeface="Times New Roman" pitchFamily="18" charset="0"/>
            </a:rPr>
            <a:t>Viabilité </a:t>
          </a:r>
          <a:r>
            <a:rPr lang="fr-FR" sz="1100" b="1">
              <a:latin typeface="Times New Roman" pitchFamily="18" charset="0"/>
              <a:cs typeface="Times New Roman" pitchFamily="18" charset="0"/>
            </a:rPr>
            <a:t>St</a:t>
          </a:r>
          <a:r>
            <a:rPr lang="fr-FR" sz="1100" b="0">
              <a:latin typeface="Times New Roman" pitchFamily="18" charset="0"/>
              <a:cs typeface="Times New Roman" pitchFamily="18" charset="0"/>
            </a:rPr>
            <a:t> (+Lba CECT4529 +  Lb</a:t>
          </a:r>
          <a:r>
            <a:rPr lang="fr-FR" sz="1100" b="0" baseline="-25000">
              <a:latin typeface="Times New Roman" pitchFamily="18" charset="0"/>
              <a:cs typeface="Times New Roman" pitchFamily="18" charset="0"/>
            </a:rPr>
            <a:t>b</a:t>
          </a:r>
          <a:r>
            <a:rPr lang="fr-FR" sz="1100" b="0">
              <a:latin typeface="Times New Roman" pitchFamily="18" charset="0"/>
              <a:cs typeface="Times New Roman" pitchFamily="18" charset="0"/>
            </a:rPr>
            <a:t>)</a:t>
          </a:r>
        </a:p>
        <a:p xmlns:a="http://schemas.openxmlformats.org/drawingml/2006/main">
          <a:endParaRPr lang="fr-FR" sz="1100"/>
        </a:p>
      </cdr:txBody>
    </cdr:sp>
  </cdr:relSizeAnchor>
</c:userShapes>
</file>

<file path=word/drawings/drawing6.xml><?xml version="1.0" encoding="utf-8"?>
<c:userShapes xmlns:c="http://schemas.openxmlformats.org/drawingml/2006/chart">
  <cdr:relSizeAnchor xmlns:cdr="http://schemas.openxmlformats.org/drawingml/2006/chartDrawing">
    <cdr:from>
      <cdr:x>0.22751</cdr:x>
      <cdr:y>0</cdr:y>
    </cdr:from>
    <cdr:to>
      <cdr:x>0.97558</cdr:x>
      <cdr:y>0.43049</cdr:y>
    </cdr:to>
    <cdr:sp macro="" textlink="">
      <cdr:nvSpPr>
        <cdr:cNvPr id="3" name="ZoneTexte 2"/>
        <cdr:cNvSpPr txBox="1"/>
      </cdr:nvSpPr>
      <cdr:spPr>
        <a:xfrm xmlns:a="http://schemas.openxmlformats.org/drawingml/2006/main">
          <a:off x="561975" y="0"/>
          <a:ext cx="1847850" cy="914400"/>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endParaRPr lang="fr-FR" sz="1100"/>
        </a:p>
      </cdr:txBody>
    </cdr:sp>
  </cdr:relSizeAnchor>
  <cdr:relSizeAnchor xmlns:cdr="http://schemas.openxmlformats.org/drawingml/2006/chartDrawing">
    <cdr:from>
      <cdr:x>0.15039</cdr:x>
      <cdr:y>0</cdr:y>
    </cdr:from>
    <cdr:to>
      <cdr:x>1</cdr:x>
      <cdr:y>0.13453</cdr:y>
    </cdr:to>
    <cdr:sp macro="" textlink="">
      <cdr:nvSpPr>
        <cdr:cNvPr id="4" name="ZoneTexte 3"/>
        <cdr:cNvSpPr txBox="1"/>
      </cdr:nvSpPr>
      <cdr:spPr>
        <a:xfrm xmlns:a="http://schemas.openxmlformats.org/drawingml/2006/main">
          <a:off x="371475" y="0"/>
          <a:ext cx="2098675" cy="28575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marL="0" marR="0" indent="0" algn="ctr" defTabSz="914400" rtl="0" eaLnBrk="1" fontAlgn="auto" latinLnBrk="0" hangingPunct="1">
            <a:lnSpc>
              <a:spcPct val="100000"/>
            </a:lnSpc>
            <a:spcBef>
              <a:spcPts val="0"/>
            </a:spcBef>
            <a:spcAft>
              <a:spcPts val="0"/>
            </a:spcAft>
            <a:buClrTx/>
            <a:buSzTx/>
            <a:buFontTx/>
            <a:buNone/>
            <a:tabLst/>
            <a:defRPr/>
          </a:pPr>
          <a:r>
            <a:rPr lang="en-US" sz="1100" b="0">
              <a:latin typeface="Times New Roman" pitchFamily="18" charset="0"/>
              <a:cs typeface="Times New Roman" pitchFamily="18" charset="0"/>
            </a:rPr>
            <a:t>Biomasse </a:t>
          </a:r>
          <a:r>
            <a:rPr lang="en-US" sz="1100" b="1">
              <a:latin typeface="Times New Roman" pitchFamily="18" charset="0"/>
              <a:cs typeface="Times New Roman" pitchFamily="18" charset="0"/>
            </a:rPr>
            <a:t>St</a:t>
          </a:r>
          <a:r>
            <a:rPr lang="en-US" sz="1100" b="0">
              <a:latin typeface="Times New Roman" pitchFamily="18" charset="0"/>
              <a:cs typeface="Times New Roman" pitchFamily="18" charset="0"/>
            </a:rPr>
            <a:t> (+ CECT748)</a:t>
          </a:r>
        </a:p>
        <a:p xmlns:a="http://schemas.openxmlformats.org/drawingml/2006/main">
          <a:endParaRPr lang="fr-FR" sz="1100"/>
        </a:p>
      </cdr:txBody>
    </cdr:sp>
  </cdr:relSizeAnchor>
</c:userShapes>
</file>

<file path=word/drawings/drawing60.xml><?xml version="1.0" encoding="utf-8"?>
<c:userShapes xmlns:c="http://schemas.openxmlformats.org/drawingml/2006/chart">
  <cdr:relSizeAnchor xmlns:cdr="http://schemas.openxmlformats.org/drawingml/2006/chartDrawing">
    <cdr:from>
      <cdr:x>0.25253</cdr:x>
      <cdr:y>0.02469</cdr:y>
    </cdr:from>
    <cdr:to>
      <cdr:x>0.95623</cdr:x>
      <cdr:y>0.15226</cdr:y>
    </cdr:to>
    <cdr:sp macro="" textlink="">
      <cdr:nvSpPr>
        <cdr:cNvPr id="3" name="ZoneTexte 2"/>
        <cdr:cNvSpPr txBox="1"/>
      </cdr:nvSpPr>
      <cdr:spPr>
        <a:xfrm xmlns:a="http://schemas.openxmlformats.org/drawingml/2006/main">
          <a:off x="714375" y="57150"/>
          <a:ext cx="1990725" cy="295275"/>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marL="0" marR="0" indent="0" algn="ctr" defTabSz="914400" rtl="0" eaLnBrk="1" fontAlgn="auto" latinLnBrk="0" hangingPunct="1">
            <a:lnSpc>
              <a:spcPct val="100000"/>
            </a:lnSpc>
            <a:spcBef>
              <a:spcPts val="0"/>
            </a:spcBef>
            <a:spcAft>
              <a:spcPts val="0"/>
            </a:spcAft>
            <a:buClrTx/>
            <a:buSzTx/>
            <a:buFontTx/>
            <a:buNone/>
            <a:tabLst/>
            <a:defRPr/>
          </a:pPr>
          <a:r>
            <a:rPr lang="en-US" sz="1100" b="0">
              <a:latin typeface="Times New Roman" pitchFamily="18" charset="0"/>
              <a:cs typeface="Times New Roman" pitchFamily="18" charset="0"/>
            </a:rPr>
            <a:t>Viabilité</a:t>
          </a:r>
          <a:r>
            <a:rPr lang="en-US" sz="1100">
              <a:latin typeface="Times New Roman" pitchFamily="18" charset="0"/>
              <a:cs typeface="Times New Roman" pitchFamily="18" charset="0"/>
            </a:rPr>
            <a:t> </a:t>
          </a:r>
          <a:r>
            <a:rPr lang="en-US" sz="1100" b="1">
              <a:latin typeface="Times New Roman" pitchFamily="18" charset="0"/>
              <a:cs typeface="Times New Roman" pitchFamily="18" charset="0"/>
            </a:rPr>
            <a:t>St</a:t>
          </a:r>
          <a:r>
            <a:rPr lang="en-US" sz="1100">
              <a:latin typeface="Times New Roman" pitchFamily="18" charset="0"/>
              <a:cs typeface="Times New Roman" pitchFamily="18" charset="0"/>
            </a:rPr>
            <a:t> </a:t>
          </a:r>
          <a:r>
            <a:rPr lang="en-US" sz="1100" b="0">
              <a:latin typeface="Times New Roman" pitchFamily="18" charset="0"/>
              <a:cs typeface="Times New Roman" pitchFamily="18" charset="0"/>
            </a:rPr>
            <a:t>(Bb12 + Lb</a:t>
          </a:r>
          <a:r>
            <a:rPr lang="en-US" sz="1100" b="0" baseline="-25000">
              <a:latin typeface="Times New Roman" pitchFamily="18" charset="0"/>
              <a:cs typeface="Times New Roman" pitchFamily="18" charset="0"/>
            </a:rPr>
            <a:t>b</a:t>
          </a:r>
          <a:r>
            <a:rPr lang="en-US" sz="1100" b="0">
              <a:latin typeface="Times New Roman" pitchFamily="18" charset="0"/>
              <a:cs typeface="Times New Roman" pitchFamily="18" charset="0"/>
            </a:rPr>
            <a:t>)</a:t>
          </a:r>
        </a:p>
        <a:p xmlns:a="http://schemas.openxmlformats.org/drawingml/2006/main">
          <a:endParaRPr lang="fr-FR" sz="1100"/>
        </a:p>
      </cdr:txBody>
    </cdr:sp>
  </cdr:relSizeAnchor>
</c:userShapes>
</file>

<file path=word/drawings/drawing61.xml><?xml version="1.0" encoding="utf-8"?>
<c:userShapes xmlns:c="http://schemas.openxmlformats.org/drawingml/2006/chart">
  <cdr:relSizeAnchor xmlns:cdr="http://schemas.openxmlformats.org/drawingml/2006/chartDrawing">
    <cdr:from>
      <cdr:x>0.44578</cdr:x>
      <cdr:y>0.63218</cdr:y>
    </cdr:from>
    <cdr:to>
      <cdr:x>0.83133</cdr:x>
      <cdr:y>1</cdr:y>
    </cdr:to>
    <cdr:sp macro="" textlink="">
      <cdr:nvSpPr>
        <cdr:cNvPr id="3" name="ZoneTexte 2"/>
        <cdr:cNvSpPr txBox="1"/>
      </cdr:nvSpPr>
      <cdr:spPr>
        <a:xfrm xmlns:a="http://schemas.openxmlformats.org/drawingml/2006/main">
          <a:off x="1057275" y="2143125"/>
          <a:ext cx="914400" cy="914400"/>
        </a:xfrm>
        <a:prstGeom xmlns:a="http://schemas.openxmlformats.org/drawingml/2006/main" prst="rect">
          <a:avLst/>
        </a:prstGeom>
      </cdr:spPr>
      <cdr:txBody>
        <a:bodyPr xmlns:a="http://schemas.openxmlformats.org/drawingml/2006/main" wrap="none" rtlCol="0"/>
        <a:lstStyle xmlns:a="http://schemas.openxmlformats.org/drawingml/2006/main"/>
        <a:p xmlns:a="http://schemas.openxmlformats.org/drawingml/2006/main">
          <a:endParaRPr lang="fr-FR" sz="1100"/>
        </a:p>
      </cdr:txBody>
    </cdr:sp>
  </cdr:relSizeAnchor>
  <cdr:relSizeAnchor xmlns:cdr="http://schemas.openxmlformats.org/drawingml/2006/chartDrawing">
    <cdr:from>
      <cdr:x>0.08987</cdr:x>
      <cdr:y>0.01533</cdr:y>
    </cdr:from>
    <cdr:to>
      <cdr:x>1</cdr:x>
      <cdr:y>0.12644</cdr:y>
    </cdr:to>
    <cdr:sp macro="" textlink="">
      <cdr:nvSpPr>
        <cdr:cNvPr id="4" name="ZoneTexte 3"/>
        <cdr:cNvSpPr txBox="1"/>
      </cdr:nvSpPr>
      <cdr:spPr>
        <a:xfrm xmlns:a="http://schemas.openxmlformats.org/drawingml/2006/main">
          <a:off x="209551" y="33292"/>
          <a:ext cx="2122169" cy="241298"/>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marL="0" marR="0" indent="0" algn="ctr" defTabSz="914400" rtl="0" eaLnBrk="1" fontAlgn="auto" latinLnBrk="0" hangingPunct="1">
            <a:lnSpc>
              <a:spcPct val="100000"/>
            </a:lnSpc>
            <a:spcBef>
              <a:spcPts val="0"/>
            </a:spcBef>
            <a:spcAft>
              <a:spcPts val="0"/>
            </a:spcAft>
            <a:buClrTx/>
            <a:buSzTx/>
            <a:buFontTx/>
            <a:buNone/>
            <a:tabLst/>
            <a:defRPr/>
          </a:pPr>
          <a:r>
            <a:rPr lang="en-US" sz="1050" b="0">
              <a:latin typeface="Times New Roman" pitchFamily="18" charset="0"/>
              <a:cs typeface="Times New Roman" pitchFamily="18" charset="0"/>
            </a:rPr>
            <a:t>Viabilité </a:t>
          </a:r>
          <a:r>
            <a:rPr lang="en-US" sz="1050" b="1">
              <a:latin typeface="Times New Roman" pitchFamily="18" charset="0"/>
              <a:cs typeface="Times New Roman" pitchFamily="18" charset="0"/>
            </a:rPr>
            <a:t>Lb</a:t>
          </a:r>
          <a:r>
            <a:rPr lang="en-US" sz="1050" b="1" baseline="-25000">
              <a:latin typeface="Times New Roman" pitchFamily="18" charset="0"/>
              <a:cs typeface="Times New Roman" pitchFamily="18" charset="0"/>
            </a:rPr>
            <a:t>b</a:t>
          </a:r>
          <a:r>
            <a:rPr lang="en-US" sz="1050" b="0">
              <a:latin typeface="Times New Roman" pitchFamily="18" charset="0"/>
              <a:cs typeface="Times New Roman" pitchFamily="18" charset="0"/>
            </a:rPr>
            <a:t> (Lbp CECT748 +  St)</a:t>
          </a:r>
        </a:p>
        <a:p xmlns:a="http://schemas.openxmlformats.org/drawingml/2006/main">
          <a:endParaRPr lang="fr-FR" sz="1100"/>
        </a:p>
      </cdr:txBody>
    </cdr:sp>
  </cdr:relSizeAnchor>
</c:userShapes>
</file>

<file path=word/drawings/drawing62.xml><?xml version="1.0" encoding="utf-8"?>
<c:userShapes xmlns:c="http://schemas.openxmlformats.org/drawingml/2006/chart">
  <cdr:relSizeAnchor xmlns:cdr="http://schemas.openxmlformats.org/drawingml/2006/chartDrawing">
    <cdr:from>
      <cdr:x>0.0989</cdr:x>
      <cdr:y>0</cdr:y>
    </cdr:from>
    <cdr:to>
      <cdr:x>1</cdr:x>
      <cdr:y>0.15953</cdr:y>
    </cdr:to>
    <cdr:sp macro="" textlink="">
      <cdr:nvSpPr>
        <cdr:cNvPr id="3" name="ZoneTexte 2"/>
        <cdr:cNvSpPr txBox="1"/>
      </cdr:nvSpPr>
      <cdr:spPr>
        <a:xfrm xmlns:a="http://schemas.openxmlformats.org/drawingml/2006/main">
          <a:off x="257175" y="0"/>
          <a:ext cx="2343150" cy="343412"/>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marL="0" marR="0" indent="0" algn="ctr" defTabSz="914400" rtl="0" eaLnBrk="1" fontAlgn="auto" latinLnBrk="0" hangingPunct="1">
            <a:lnSpc>
              <a:spcPct val="100000"/>
            </a:lnSpc>
            <a:spcBef>
              <a:spcPts val="0"/>
            </a:spcBef>
            <a:spcAft>
              <a:spcPts val="0"/>
            </a:spcAft>
            <a:buClrTx/>
            <a:buSzTx/>
            <a:buFontTx/>
            <a:buNone/>
            <a:tabLst/>
            <a:defRPr/>
          </a:pPr>
          <a:r>
            <a:rPr lang="fr-FR" sz="1100" b="0">
              <a:latin typeface="Times New Roman" pitchFamily="18" charset="0"/>
              <a:cs typeface="Times New Roman" pitchFamily="18" charset="0"/>
            </a:rPr>
            <a:t>Viabilité </a:t>
          </a:r>
          <a:r>
            <a:rPr lang="fr-FR" sz="1100" b="1">
              <a:latin typeface="Times New Roman" pitchFamily="18" charset="0"/>
              <a:cs typeface="Times New Roman" pitchFamily="18" charset="0"/>
            </a:rPr>
            <a:t>Lb</a:t>
          </a:r>
          <a:r>
            <a:rPr lang="fr-FR" sz="1100" b="1" baseline="-25000">
              <a:latin typeface="Times New Roman" pitchFamily="18" charset="0"/>
              <a:cs typeface="Times New Roman" pitchFamily="18" charset="0"/>
            </a:rPr>
            <a:t>b</a:t>
          </a:r>
          <a:r>
            <a:rPr lang="fr-FR" sz="1100" b="0" baseline="-25000">
              <a:latin typeface="Times New Roman" pitchFamily="18" charset="0"/>
              <a:cs typeface="Times New Roman" pitchFamily="18" charset="0"/>
            </a:rPr>
            <a:t> </a:t>
          </a:r>
          <a:r>
            <a:rPr lang="fr-FR" sz="1100" b="0">
              <a:latin typeface="Times New Roman" pitchFamily="18" charset="0"/>
              <a:cs typeface="Times New Roman" pitchFamily="18" charset="0"/>
            </a:rPr>
            <a:t>(+Lba CECT4529 + St</a:t>
          </a:r>
          <a:r>
            <a:rPr lang="fr-FR" sz="1100" b="0"/>
            <a:t>)</a:t>
          </a:r>
          <a:endParaRPr lang="fr-FR" sz="1100"/>
        </a:p>
      </cdr:txBody>
    </cdr:sp>
  </cdr:relSizeAnchor>
</c:userShapes>
</file>

<file path=word/drawings/drawing63.xml><?xml version="1.0" encoding="utf-8"?>
<c:userShapes xmlns:c="http://schemas.openxmlformats.org/drawingml/2006/chart">
  <cdr:relSizeAnchor xmlns:cdr="http://schemas.openxmlformats.org/drawingml/2006/chartDrawing">
    <cdr:from>
      <cdr:x>0.23642</cdr:x>
      <cdr:y>0.02</cdr:y>
    </cdr:from>
    <cdr:to>
      <cdr:x>0.95527</cdr:x>
      <cdr:y>0.156</cdr:y>
    </cdr:to>
    <cdr:sp macro="" textlink="">
      <cdr:nvSpPr>
        <cdr:cNvPr id="3" name="ZoneTexte 2"/>
        <cdr:cNvSpPr txBox="1"/>
      </cdr:nvSpPr>
      <cdr:spPr>
        <a:xfrm xmlns:a="http://schemas.openxmlformats.org/drawingml/2006/main">
          <a:off x="704850" y="47625"/>
          <a:ext cx="2143125" cy="32385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marL="0" marR="0" indent="0" algn="ctr" defTabSz="914400" rtl="0" eaLnBrk="1" fontAlgn="auto" latinLnBrk="0" hangingPunct="1">
            <a:lnSpc>
              <a:spcPct val="100000"/>
            </a:lnSpc>
            <a:spcBef>
              <a:spcPts val="0"/>
            </a:spcBef>
            <a:spcAft>
              <a:spcPts val="0"/>
            </a:spcAft>
            <a:buClrTx/>
            <a:buSzTx/>
            <a:buFontTx/>
            <a:buNone/>
            <a:tabLst/>
            <a:defRPr/>
          </a:pPr>
          <a:r>
            <a:rPr lang="en-US" sz="1100" b="0">
              <a:latin typeface="Times New Roman" pitchFamily="18" charset="0"/>
              <a:cs typeface="Times New Roman" pitchFamily="18" charset="0"/>
            </a:rPr>
            <a:t>Viabilité </a:t>
          </a:r>
          <a:r>
            <a:rPr lang="en-US" sz="1100" b="1">
              <a:latin typeface="Times New Roman" pitchFamily="18" charset="0"/>
              <a:cs typeface="Times New Roman" pitchFamily="18" charset="0"/>
            </a:rPr>
            <a:t>Lb</a:t>
          </a:r>
          <a:r>
            <a:rPr lang="en-US" sz="1100" b="1" baseline="-25000">
              <a:latin typeface="Times New Roman" pitchFamily="18" charset="0"/>
              <a:cs typeface="Times New Roman" pitchFamily="18" charset="0"/>
            </a:rPr>
            <a:t>b</a:t>
          </a:r>
          <a:r>
            <a:rPr lang="en-US" sz="1100" b="0">
              <a:latin typeface="Times New Roman" pitchFamily="18" charset="0"/>
              <a:cs typeface="Times New Roman" pitchFamily="18" charset="0"/>
            </a:rPr>
            <a:t> (+Bb12 + St)</a:t>
          </a:r>
        </a:p>
        <a:p xmlns:a="http://schemas.openxmlformats.org/drawingml/2006/main">
          <a:endParaRPr lang="fr-FR" sz="1100"/>
        </a:p>
      </cdr:txBody>
    </cdr:sp>
  </cdr:relSizeAnchor>
</c:userShapes>
</file>

<file path=word/drawings/drawing64.xml><?xml version="1.0" encoding="utf-8"?>
<c:userShapes xmlns:c="http://schemas.openxmlformats.org/drawingml/2006/chart">
  <cdr:relSizeAnchor xmlns:cdr="http://schemas.openxmlformats.org/drawingml/2006/chartDrawing">
    <cdr:from>
      <cdr:x>0.13544</cdr:x>
      <cdr:y>0.0089</cdr:y>
    </cdr:from>
    <cdr:to>
      <cdr:x>0.99121</cdr:x>
      <cdr:y>0.14248</cdr:y>
    </cdr:to>
    <cdr:sp macro="" textlink="">
      <cdr:nvSpPr>
        <cdr:cNvPr id="3" name="ZoneTexte 2"/>
        <cdr:cNvSpPr txBox="1"/>
      </cdr:nvSpPr>
      <cdr:spPr>
        <a:xfrm xmlns:a="http://schemas.openxmlformats.org/drawingml/2006/main">
          <a:off x="342900" y="19752"/>
          <a:ext cx="2166591" cy="296457"/>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r>
            <a:rPr lang="en-US" sz="1050" b="0">
              <a:latin typeface="Times New Roman" pitchFamily="18" charset="0"/>
              <a:cs typeface="Times New Roman" pitchFamily="18" charset="0"/>
            </a:rPr>
            <a:t>Viabilité </a:t>
          </a:r>
          <a:r>
            <a:rPr lang="en-US" sz="1050" b="1">
              <a:latin typeface="Times New Roman" pitchFamily="18" charset="0"/>
              <a:cs typeface="Times New Roman" pitchFamily="18" charset="0"/>
            </a:rPr>
            <a:t>Lb</a:t>
          </a:r>
          <a:r>
            <a:rPr lang="en-US" sz="1050" b="1" baseline="-25000">
              <a:latin typeface="Times New Roman" pitchFamily="18" charset="0"/>
              <a:cs typeface="Times New Roman" pitchFamily="18" charset="0"/>
            </a:rPr>
            <a:t>b</a:t>
          </a:r>
          <a:r>
            <a:rPr lang="en-US" sz="1050" b="0">
              <a:latin typeface="Times New Roman" pitchFamily="18" charset="0"/>
              <a:cs typeface="Times New Roman" pitchFamily="18" charset="0"/>
            </a:rPr>
            <a:t> (+LbRE-LSAS + St)</a:t>
          </a:r>
          <a:endParaRPr lang="fr-FR" sz="1050"/>
        </a:p>
      </cdr:txBody>
    </cdr:sp>
  </cdr:relSizeAnchor>
</c:userShapes>
</file>

<file path=word/drawings/drawing65.xml><?xml version="1.0" encoding="utf-8"?>
<c:userShapes xmlns:c="http://schemas.openxmlformats.org/drawingml/2006/chart">
  <cdr:relSizeAnchor xmlns:cdr="http://schemas.openxmlformats.org/drawingml/2006/chartDrawing">
    <cdr:from>
      <cdr:x>0.19528</cdr:x>
      <cdr:y>0</cdr:y>
    </cdr:from>
    <cdr:to>
      <cdr:x>0.96905</cdr:x>
      <cdr:y>0.13728</cdr:y>
    </cdr:to>
    <cdr:sp macro="" textlink="">
      <cdr:nvSpPr>
        <cdr:cNvPr id="3" name="ZoneTexte 2"/>
        <cdr:cNvSpPr txBox="1"/>
      </cdr:nvSpPr>
      <cdr:spPr>
        <a:xfrm xmlns:a="http://schemas.openxmlformats.org/drawingml/2006/main">
          <a:off x="504825" y="0"/>
          <a:ext cx="2000250" cy="28575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marL="0" marR="0" indent="0" algn="ctr" defTabSz="914400" rtl="0" eaLnBrk="1" fontAlgn="auto" latinLnBrk="0" hangingPunct="1">
            <a:lnSpc>
              <a:spcPct val="100000"/>
            </a:lnSpc>
            <a:spcBef>
              <a:spcPts val="0"/>
            </a:spcBef>
            <a:spcAft>
              <a:spcPts val="0"/>
            </a:spcAft>
            <a:buClrTx/>
            <a:buSzTx/>
            <a:buFontTx/>
            <a:buNone/>
            <a:tabLst/>
            <a:defRPr/>
          </a:pPr>
          <a:r>
            <a:rPr lang="fr-FR" sz="1100" b="0">
              <a:latin typeface="Times New Roman" pitchFamily="18" charset="0"/>
              <a:cs typeface="Times New Roman" pitchFamily="18" charset="0"/>
            </a:rPr>
            <a:t>Viabilité </a:t>
          </a:r>
          <a:r>
            <a:rPr lang="fr-FR" sz="1100" b="1">
              <a:latin typeface="Times New Roman" pitchFamily="18" charset="0"/>
              <a:cs typeface="Times New Roman" pitchFamily="18" charset="0"/>
            </a:rPr>
            <a:t>Lb</a:t>
          </a:r>
          <a:r>
            <a:rPr lang="fr-FR" sz="1100" b="1" baseline="-25000">
              <a:latin typeface="Times New Roman" pitchFamily="18" charset="0"/>
              <a:cs typeface="Times New Roman" pitchFamily="18" charset="0"/>
            </a:rPr>
            <a:t>b</a:t>
          </a:r>
          <a:r>
            <a:rPr lang="fr-FR" sz="1100" b="0">
              <a:latin typeface="Times New Roman" pitchFamily="18" charset="0"/>
              <a:cs typeface="Times New Roman" pitchFamily="18" charset="0"/>
            </a:rPr>
            <a:t> (+BLR + St)</a:t>
          </a:r>
        </a:p>
        <a:p xmlns:a="http://schemas.openxmlformats.org/drawingml/2006/main">
          <a:endParaRPr lang="fr-FR" sz="1100"/>
        </a:p>
      </cdr:txBody>
    </cdr:sp>
  </cdr:relSizeAnchor>
</c:userShapes>
</file>

<file path=word/drawings/drawing66.xml><?xml version="1.0" encoding="utf-8"?>
<c:userShapes xmlns:c="http://schemas.openxmlformats.org/drawingml/2006/chart">
  <cdr:relSizeAnchor xmlns:cdr="http://schemas.openxmlformats.org/drawingml/2006/chartDrawing">
    <cdr:from>
      <cdr:x>0.15038</cdr:x>
      <cdr:y>0</cdr:y>
    </cdr:from>
    <cdr:to>
      <cdr:x>0.92481</cdr:x>
      <cdr:y>0.1342</cdr:y>
    </cdr:to>
    <cdr:sp macro="" textlink="">
      <cdr:nvSpPr>
        <cdr:cNvPr id="3" name="ZoneTexte 2"/>
        <cdr:cNvSpPr txBox="1"/>
      </cdr:nvSpPr>
      <cdr:spPr>
        <a:xfrm xmlns:a="http://schemas.openxmlformats.org/drawingml/2006/main">
          <a:off x="381000" y="0"/>
          <a:ext cx="1962150" cy="295275"/>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marL="0" marR="0" indent="0" algn="ctr" defTabSz="914400" rtl="0" eaLnBrk="1" fontAlgn="auto" latinLnBrk="0" hangingPunct="1">
            <a:lnSpc>
              <a:spcPct val="100000"/>
            </a:lnSpc>
            <a:spcBef>
              <a:spcPts val="0"/>
            </a:spcBef>
            <a:spcAft>
              <a:spcPts val="0"/>
            </a:spcAft>
            <a:buClrTx/>
            <a:buSzTx/>
            <a:buFontTx/>
            <a:buNone/>
            <a:tabLst/>
            <a:defRPr/>
          </a:pPr>
          <a:r>
            <a:rPr lang="en-US" sz="1100" b="1">
              <a:latin typeface="Times New Roman" pitchFamily="18" charset="0"/>
              <a:cs typeface="Times New Roman" pitchFamily="18" charset="0"/>
            </a:rPr>
            <a:t>Lbp CECT748 +S t + Lb</a:t>
          </a:r>
          <a:r>
            <a:rPr lang="en-US" sz="1100" b="1" baseline="-25000">
              <a:latin typeface="Times New Roman" pitchFamily="18" charset="0"/>
              <a:cs typeface="Times New Roman" pitchFamily="18" charset="0"/>
            </a:rPr>
            <a:t>b</a:t>
          </a:r>
        </a:p>
        <a:p xmlns:a="http://schemas.openxmlformats.org/drawingml/2006/main">
          <a:endParaRPr lang="fr-FR" sz="1100"/>
        </a:p>
      </cdr:txBody>
    </cdr:sp>
  </cdr:relSizeAnchor>
</c:userShapes>
</file>

<file path=word/drawings/drawing67.xml><?xml version="1.0" encoding="utf-8"?>
<c:userShapes xmlns:c="http://schemas.openxmlformats.org/drawingml/2006/chart">
  <cdr:relSizeAnchor xmlns:cdr="http://schemas.openxmlformats.org/drawingml/2006/chartDrawing">
    <cdr:from>
      <cdr:x>0.19026</cdr:x>
      <cdr:y>0.01235</cdr:y>
    </cdr:from>
    <cdr:to>
      <cdr:x>0.97895</cdr:x>
      <cdr:y>0.12757</cdr:y>
    </cdr:to>
    <cdr:sp macro="" textlink="">
      <cdr:nvSpPr>
        <cdr:cNvPr id="3" name="ZoneTexte 2"/>
        <cdr:cNvSpPr txBox="1"/>
      </cdr:nvSpPr>
      <cdr:spPr>
        <a:xfrm xmlns:a="http://schemas.openxmlformats.org/drawingml/2006/main">
          <a:off x="476250" y="26115"/>
          <a:ext cx="1974228" cy="243638"/>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marL="0" marR="0" indent="0" algn="ctr" defTabSz="914400" rtl="0" eaLnBrk="1" fontAlgn="auto" latinLnBrk="0" hangingPunct="1">
            <a:lnSpc>
              <a:spcPct val="100000"/>
            </a:lnSpc>
            <a:spcBef>
              <a:spcPts val="0"/>
            </a:spcBef>
            <a:spcAft>
              <a:spcPts val="0"/>
            </a:spcAft>
            <a:buClrTx/>
            <a:buSzTx/>
            <a:buFontTx/>
            <a:buNone/>
            <a:tabLst/>
            <a:defRPr/>
          </a:pPr>
          <a:r>
            <a:rPr lang="fr-FR" sz="1100" b="1">
              <a:latin typeface="Times New Roman" pitchFamily="18" charset="0"/>
              <a:cs typeface="Times New Roman" pitchFamily="18" charset="0"/>
            </a:rPr>
            <a:t>Lba CECT4529 + St + Lb</a:t>
          </a:r>
          <a:r>
            <a:rPr lang="fr-FR" sz="1100" b="1" baseline="-25000">
              <a:latin typeface="Times New Roman" pitchFamily="18" charset="0"/>
              <a:cs typeface="Times New Roman" pitchFamily="18" charset="0"/>
            </a:rPr>
            <a:t>b</a:t>
          </a:r>
        </a:p>
        <a:p xmlns:a="http://schemas.openxmlformats.org/drawingml/2006/main">
          <a:endParaRPr lang="fr-FR" sz="1100"/>
        </a:p>
      </cdr:txBody>
    </cdr:sp>
  </cdr:relSizeAnchor>
</c:userShapes>
</file>

<file path=word/drawings/drawing68.xml><?xml version="1.0" encoding="utf-8"?>
<c:userShapes xmlns:c="http://schemas.openxmlformats.org/drawingml/2006/chart">
  <cdr:relSizeAnchor xmlns:cdr="http://schemas.openxmlformats.org/drawingml/2006/chartDrawing">
    <cdr:from>
      <cdr:x>0.26549</cdr:x>
      <cdr:y>0</cdr:y>
    </cdr:from>
    <cdr:to>
      <cdr:x>0.83234</cdr:x>
      <cdr:y>0.125</cdr:y>
    </cdr:to>
    <cdr:sp macro="" textlink="">
      <cdr:nvSpPr>
        <cdr:cNvPr id="3" name="ZoneTexte 2"/>
        <cdr:cNvSpPr txBox="1"/>
      </cdr:nvSpPr>
      <cdr:spPr>
        <a:xfrm xmlns:a="http://schemas.openxmlformats.org/drawingml/2006/main">
          <a:off x="704850" y="0"/>
          <a:ext cx="1504950" cy="26670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marL="0" marR="0" indent="0" algn="ctr" defTabSz="914400" rtl="0" eaLnBrk="1" fontAlgn="auto" latinLnBrk="0" hangingPunct="1">
            <a:lnSpc>
              <a:spcPct val="100000"/>
            </a:lnSpc>
            <a:spcBef>
              <a:spcPts val="0"/>
            </a:spcBef>
            <a:spcAft>
              <a:spcPts val="0"/>
            </a:spcAft>
            <a:buClrTx/>
            <a:buSzTx/>
            <a:buFontTx/>
            <a:buNone/>
            <a:tabLst/>
            <a:defRPr/>
          </a:pPr>
          <a:r>
            <a:rPr lang="en-US" sz="1100" b="1">
              <a:latin typeface="Times New Roman" pitchFamily="18" charset="0"/>
              <a:cs typeface="Times New Roman" pitchFamily="18" charset="0"/>
            </a:rPr>
            <a:t>Bb12 + St + Lb</a:t>
          </a:r>
          <a:r>
            <a:rPr lang="en-US" sz="1100" b="1" baseline="-25000">
              <a:latin typeface="Times New Roman" pitchFamily="18" charset="0"/>
              <a:cs typeface="Times New Roman" pitchFamily="18" charset="0"/>
            </a:rPr>
            <a:t>b</a:t>
          </a:r>
        </a:p>
        <a:p xmlns:a="http://schemas.openxmlformats.org/drawingml/2006/main">
          <a:endParaRPr lang="fr-FR" sz="1100"/>
        </a:p>
      </cdr:txBody>
    </cdr:sp>
  </cdr:relSizeAnchor>
</c:userShapes>
</file>

<file path=word/drawings/drawing69.xml><?xml version="1.0" encoding="utf-8"?>
<c:userShapes xmlns:c="http://schemas.openxmlformats.org/drawingml/2006/chart">
  <cdr:relSizeAnchor xmlns:cdr="http://schemas.openxmlformats.org/drawingml/2006/chartDrawing">
    <cdr:from>
      <cdr:x>0.16376</cdr:x>
      <cdr:y>0.00885</cdr:y>
    </cdr:from>
    <cdr:to>
      <cdr:x>0.97434</cdr:x>
      <cdr:y>0.12389</cdr:y>
    </cdr:to>
    <cdr:sp macro="" textlink="">
      <cdr:nvSpPr>
        <cdr:cNvPr id="3" name="ZoneTexte 2"/>
        <cdr:cNvSpPr txBox="1"/>
      </cdr:nvSpPr>
      <cdr:spPr>
        <a:xfrm xmlns:a="http://schemas.openxmlformats.org/drawingml/2006/main">
          <a:off x="381000" y="19050"/>
          <a:ext cx="1885950" cy="24765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marL="0" marR="0" indent="0" algn="ctr" defTabSz="914400" rtl="0" eaLnBrk="1" fontAlgn="auto" latinLnBrk="0" hangingPunct="1">
            <a:lnSpc>
              <a:spcPct val="100000"/>
            </a:lnSpc>
            <a:spcBef>
              <a:spcPts val="0"/>
            </a:spcBef>
            <a:spcAft>
              <a:spcPts val="0"/>
            </a:spcAft>
            <a:buClrTx/>
            <a:buSzTx/>
            <a:buFontTx/>
            <a:buNone/>
            <a:tabLst/>
            <a:defRPr/>
          </a:pPr>
          <a:r>
            <a:rPr lang="en-US" sz="1100" b="1">
              <a:latin typeface="Times New Roman" pitchFamily="18" charset="0"/>
              <a:cs typeface="Times New Roman" pitchFamily="18" charset="0"/>
            </a:rPr>
            <a:t>LbRE-LSAS + St + Lb</a:t>
          </a:r>
          <a:r>
            <a:rPr lang="fr-FR" sz="1100" b="1" baseline="-25000">
              <a:latin typeface="Times New Roman" pitchFamily="18" charset="0"/>
              <a:cs typeface="Times New Roman" pitchFamily="18" charset="0"/>
            </a:rPr>
            <a:t>b</a:t>
          </a:r>
        </a:p>
      </cdr:txBody>
    </cdr:sp>
  </cdr:relSizeAnchor>
</c:userShapes>
</file>

<file path=word/drawings/drawing7.xml><?xml version="1.0" encoding="utf-8"?>
<c:userShapes xmlns:c="http://schemas.openxmlformats.org/drawingml/2006/chart">
  <cdr:relSizeAnchor xmlns:cdr="http://schemas.openxmlformats.org/drawingml/2006/chartDrawing">
    <cdr:from>
      <cdr:x>0.15771</cdr:x>
      <cdr:y>0.03043</cdr:y>
    </cdr:from>
    <cdr:to>
      <cdr:x>0.96416</cdr:x>
      <cdr:y>0.16087</cdr:y>
    </cdr:to>
    <cdr:sp macro="" textlink="">
      <cdr:nvSpPr>
        <cdr:cNvPr id="3" name="ZoneTexte 2"/>
        <cdr:cNvSpPr txBox="1"/>
      </cdr:nvSpPr>
      <cdr:spPr>
        <a:xfrm xmlns:a="http://schemas.openxmlformats.org/drawingml/2006/main">
          <a:off x="419100" y="66675"/>
          <a:ext cx="2143125" cy="28575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marL="0" marR="0" indent="0" algn="ctr" defTabSz="914400" rtl="0" eaLnBrk="1" fontAlgn="auto" latinLnBrk="0" hangingPunct="1">
            <a:lnSpc>
              <a:spcPct val="100000"/>
            </a:lnSpc>
            <a:spcBef>
              <a:spcPts val="0"/>
            </a:spcBef>
            <a:spcAft>
              <a:spcPts val="0"/>
            </a:spcAft>
            <a:buClrTx/>
            <a:buSzTx/>
            <a:buFontTx/>
            <a:buNone/>
            <a:tabLst/>
            <a:defRPr/>
          </a:pPr>
          <a:r>
            <a:rPr lang="en-US" sz="1100" b="0">
              <a:latin typeface="Times New Roman" pitchFamily="18" charset="0"/>
              <a:cs typeface="Times New Roman" pitchFamily="18" charset="0"/>
            </a:rPr>
            <a:t>Biomasse </a:t>
          </a:r>
          <a:r>
            <a:rPr lang="en-US" sz="1100" b="1">
              <a:latin typeface="Times New Roman" pitchFamily="18" charset="0"/>
              <a:cs typeface="Times New Roman" pitchFamily="18" charset="0"/>
            </a:rPr>
            <a:t>St</a:t>
          </a:r>
          <a:r>
            <a:rPr lang="en-US" sz="1100" b="0">
              <a:latin typeface="Times New Roman" pitchFamily="18" charset="0"/>
              <a:cs typeface="Times New Roman" pitchFamily="18" charset="0"/>
            </a:rPr>
            <a:t> (+ Lba CECT4529)</a:t>
          </a:r>
        </a:p>
        <a:p xmlns:a="http://schemas.openxmlformats.org/drawingml/2006/main">
          <a:endParaRPr lang="fr-FR" sz="1100"/>
        </a:p>
      </cdr:txBody>
    </cdr:sp>
  </cdr:relSizeAnchor>
</c:userShapes>
</file>

<file path=word/drawings/drawing70.xml><?xml version="1.0" encoding="utf-8"?>
<c:userShapes xmlns:c="http://schemas.openxmlformats.org/drawingml/2006/chart">
  <cdr:relSizeAnchor xmlns:cdr="http://schemas.openxmlformats.org/drawingml/2006/chartDrawing">
    <cdr:from>
      <cdr:x>0.13932</cdr:x>
      <cdr:y>4.4486E-7</cdr:y>
    </cdr:from>
    <cdr:to>
      <cdr:x>0.97523</cdr:x>
      <cdr:y>0.11017</cdr:y>
    </cdr:to>
    <cdr:sp macro="" textlink="">
      <cdr:nvSpPr>
        <cdr:cNvPr id="3" name="ZoneTexte 2"/>
        <cdr:cNvSpPr txBox="1"/>
      </cdr:nvSpPr>
      <cdr:spPr>
        <a:xfrm xmlns:a="http://schemas.openxmlformats.org/drawingml/2006/main">
          <a:off x="342903" y="1"/>
          <a:ext cx="2057392" cy="247650"/>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marL="0" marR="0" indent="0" algn="ctr" defTabSz="914400" rtl="0" eaLnBrk="1" fontAlgn="auto" latinLnBrk="0" hangingPunct="1">
            <a:lnSpc>
              <a:spcPct val="100000"/>
            </a:lnSpc>
            <a:spcBef>
              <a:spcPts val="0"/>
            </a:spcBef>
            <a:spcAft>
              <a:spcPts val="0"/>
            </a:spcAft>
            <a:buClrTx/>
            <a:buSzTx/>
            <a:buFontTx/>
            <a:buNone/>
            <a:tabLst/>
            <a:defRPr/>
          </a:pPr>
          <a:r>
            <a:rPr lang="fr-FR" sz="1100" b="1">
              <a:latin typeface="Times New Roman" pitchFamily="18" charset="0"/>
              <a:cs typeface="Times New Roman" pitchFamily="18" charset="0"/>
            </a:rPr>
            <a:t>BLR + St + Lb</a:t>
          </a:r>
          <a:r>
            <a:rPr lang="fr-FR" sz="1100" b="1" baseline="-25000">
              <a:latin typeface="Times New Roman" pitchFamily="18" charset="0"/>
              <a:cs typeface="Times New Roman" pitchFamily="18" charset="0"/>
            </a:rPr>
            <a:t>b</a:t>
          </a:r>
        </a:p>
        <a:p xmlns:a="http://schemas.openxmlformats.org/drawingml/2006/main">
          <a:r>
            <a:rPr lang="fr-FR" sz="1100"/>
            <a:t> </a:t>
          </a:r>
        </a:p>
      </cdr:txBody>
    </cdr:sp>
  </cdr:relSizeAnchor>
</c:userShapes>
</file>

<file path=word/drawings/drawing8.xml><?xml version="1.0" encoding="utf-8"?>
<c:userShapes xmlns:c="http://schemas.openxmlformats.org/drawingml/2006/chart">
  <cdr:relSizeAnchor xmlns:cdr="http://schemas.openxmlformats.org/drawingml/2006/chartDrawing">
    <cdr:from>
      <cdr:x>0.23688</cdr:x>
      <cdr:y>0.04091</cdr:y>
    </cdr:from>
    <cdr:to>
      <cdr:x>1</cdr:x>
      <cdr:y>0.17275</cdr:y>
    </cdr:to>
    <cdr:sp macro="" textlink="">
      <cdr:nvSpPr>
        <cdr:cNvPr id="3" name="ZoneTexte 2"/>
        <cdr:cNvSpPr txBox="1"/>
      </cdr:nvSpPr>
      <cdr:spPr>
        <a:xfrm xmlns:a="http://schemas.openxmlformats.org/drawingml/2006/main">
          <a:off x="604684" y="85725"/>
          <a:ext cx="1948016" cy="276272"/>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marL="0" marR="0" indent="0" algn="ctr" defTabSz="914400" rtl="0" eaLnBrk="1" fontAlgn="auto" latinLnBrk="0" hangingPunct="1">
            <a:lnSpc>
              <a:spcPct val="100000"/>
            </a:lnSpc>
            <a:spcBef>
              <a:spcPts val="0"/>
            </a:spcBef>
            <a:spcAft>
              <a:spcPts val="0"/>
            </a:spcAft>
            <a:buClrTx/>
            <a:buSzTx/>
            <a:buFontTx/>
            <a:buNone/>
            <a:tabLst/>
            <a:defRPr/>
          </a:pPr>
          <a:r>
            <a:rPr lang="en-US" sz="1100" b="0">
              <a:latin typeface="Times New Roman" pitchFamily="18" charset="0"/>
              <a:cs typeface="Times New Roman" pitchFamily="18" charset="0"/>
            </a:rPr>
            <a:t>Biomasse </a:t>
          </a:r>
          <a:r>
            <a:rPr lang="en-US" sz="1100" b="1">
              <a:latin typeface="Times New Roman" pitchFamily="18" charset="0"/>
              <a:cs typeface="Times New Roman" pitchFamily="18" charset="0"/>
            </a:rPr>
            <a:t>St</a:t>
          </a:r>
          <a:r>
            <a:rPr lang="en-US" sz="1100" b="0">
              <a:latin typeface="Times New Roman" pitchFamily="18" charset="0"/>
              <a:cs typeface="Times New Roman" pitchFamily="18" charset="0"/>
            </a:rPr>
            <a:t> (+ Bb12)</a:t>
          </a:r>
        </a:p>
        <a:p xmlns:a="http://schemas.openxmlformats.org/drawingml/2006/main">
          <a:endParaRPr lang="fr-FR" sz="1100"/>
        </a:p>
      </cdr:txBody>
    </cdr:sp>
  </cdr:relSizeAnchor>
</c:userShapes>
</file>

<file path=word/drawings/drawing9.xml><?xml version="1.0" encoding="utf-8"?>
<c:userShapes xmlns:c="http://schemas.openxmlformats.org/drawingml/2006/chart">
  <cdr:relSizeAnchor xmlns:cdr="http://schemas.openxmlformats.org/drawingml/2006/chartDrawing">
    <cdr:from>
      <cdr:x>0.24468</cdr:x>
      <cdr:y>0.02989</cdr:y>
    </cdr:from>
    <cdr:to>
      <cdr:x>1</cdr:x>
      <cdr:y>0.15072</cdr:y>
    </cdr:to>
    <cdr:sp macro="" textlink="">
      <cdr:nvSpPr>
        <cdr:cNvPr id="3" name="ZoneTexte 2"/>
        <cdr:cNvSpPr txBox="1"/>
      </cdr:nvSpPr>
      <cdr:spPr>
        <a:xfrm xmlns:a="http://schemas.openxmlformats.org/drawingml/2006/main">
          <a:off x="699646" y="71176"/>
          <a:ext cx="1865754" cy="287726"/>
        </a:xfrm>
        <a:prstGeom xmlns:a="http://schemas.openxmlformats.org/drawingml/2006/main" prst="rect">
          <a:avLst/>
        </a:prstGeom>
      </cdr:spPr>
      <cdr:txBody>
        <a:bodyPr xmlns:a="http://schemas.openxmlformats.org/drawingml/2006/main" wrap="square" rtlCol="0"/>
        <a:lstStyle xmlns:a="http://schemas.openxmlformats.org/drawingml/2006/main"/>
        <a:p xmlns:a="http://schemas.openxmlformats.org/drawingml/2006/main">
          <a:pPr marL="0" marR="0" indent="0" algn="ctr" defTabSz="914400" rtl="0" eaLnBrk="1" fontAlgn="auto" latinLnBrk="0" hangingPunct="1">
            <a:lnSpc>
              <a:spcPct val="100000"/>
            </a:lnSpc>
            <a:spcBef>
              <a:spcPts val="0"/>
            </a:spcBef>
            <a:spcAft>
              <a:spcPts val="0"/>
            </a:spcAft>
            <a:buClrTx/>
            <a:buSzTx/>
            <a:buFontTx/>
            <a:buNone/>
            <a:tabLst/>
            <a:defRPr/>
          </a:pPr>
          <a:r>
            <a:rPr lang="fr-FR" sz="1100" b="0">
              <a:latin typeface="Times New Roman" pitchFamily="18" charset="0"/>
              <a:cs typeface="Times New Roman" pitchFamily="18" charset="0"/>
            </a:rPr>
            <a:t>Biomasse </a:t>
          </a:r>
          <a:r>
            <a:rPr lang="fr-FR" sz="1100" b="1">
              <a:latin typeface="Times New Roman" pitchFamily="18" charset="0"/>
              <a:cs typeface="Times New Roman" pitchFamily="18" charset="0"/>
            </a:rPr>
            <a:t>St</a:t>
          </a:r>
          <a:r>
            <a:rPr lang="fr-FR" sz="1100" b="0">
              <a:latin typeface="Times New Roman" pitchFamily="18" charset="0"/>
              <a:cs typeface="Times New Roman" pitchFamily="18" charset="0"/>
            </a:rPr>
            <a:t> (+ LbRE-LSAS)</a:t>
          </a:r>
        </a:p>
        <a:p xmlns:a="http://schemas.openxmlformats.org/drawingml/2006/main">
          <a:endParaRPr lang="fr-FR" sz="1100"/>
        </a:p>
      </cdr:txBody>
    </cdr:sp>
  </cdr:relSizeAnchor>
</c:userShape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43</Pages>
  <Words>7796</Words>
  <Characters>42882</Characters>
  <Application>Microsoft Office Word</Application>
  <DocSecurity>0</DocSecurity>
  <Lines>357</Lines>
  <Paragraphs>101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50577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6</cp:revision>
  <cp:lastPrinted>2009-05-27T22:02:00Z</cp:lastPrinted>
  <dcterms:created xsi:type="dcterms:W3CDTF">2009-05-27T10:34:00Z</dcterms:created>
  <dcterms:modified xsi:type="dcterms:W3CDTF">2009-05-27T22:28:00Z</dcterms:modified>
</cp:coreProperties>
</file>